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科技金融产品清单目录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253"/>
        <w:gridCol w:w="1077"/>
        <w:gridCol w:w="1950"/>
        <w:gridCol w:w="2073"/>
        <w:gridCol w:w="1297"/>
        <w:gridCol w:w="2797"/>
        <w:gridCol w:w="91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序号</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金融产品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名称</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金融产品类型</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金融产品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简介</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金融产品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特点</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金融产品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面向主体</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金融产品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准入条件</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是否已备案上市</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bCs w:val="0"/>
                <w:color w:val="auto"/>
                <w:sz w:val="21"/>
                <w:szCs w:val="21"/>
                <w:vertAlign w:val="baseline"/>
                <w:lang w:val="en-US" w:eastAsia="zh-CN"/>
              </w:rPr>
            </w:pPr>
            <w:r>
              <w:rPr>
                <w:rFonts w:hint="eastAsia" w:ascii="仿宋_GB2312" w:hAnsi="仿宋_GB2312" w:cs="仿宋_GB2312"/>
                <w:b/>
                <w:bCs w:val="0"/>
                <w:color w:val="auto"/>
                <w:sz w:val="21"/>
                <w:szCs w:val="21"/>
                <w:vertAlign w:val="baseline"/>
                <w:lang w:val="en-US" w:eastAsia="zh-CN"/>
              </w:rPr>
              <w:t>所属银行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科创易贷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面向“专精特新”企业，最高授信额度5000万元，纯信用</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1.额度高，最高额度5000万元；2.纯信用；</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专精特新、专精特新小巨人企业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1.“专精特新”或“小巨人”客户；2.上年应税收入不低于2000万元；3.信用良好，合作金融机构不超过3家或融资规模不超过上年度营业收入50%。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华夏银行宝鸡分行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8"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2</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善科贷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善科贷”业务是指以科技小微企业及其企业法人的信用信息、经营信息、人才信息、科技成果等数据，综合考虑企业的经营现状、科技属性及发展潜力，为具有良好成长性的科技小微企业发放的流动资金贷款业务或为其企业主发放的个人经营性贷款业务。</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1.贷款额度最高1000万元；贷款期限最长3年；2.利率3.85％，按日计息，随借随还；3.纯信用，无需抵押担保；</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4.线上申请，操作便捷。</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科创型小微企业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1.成立且实际经营1年（含）以上，且在建设银行开立对公结算账户；2.企业及企业主在其他银行信贷余额不超过1000万元；3.企业拥有与主营业务相关的自主知识产权；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4.企业主或主要股东获得国家或地方政府颁发的高层次人才称号；5.企业获得国家或地方政府评定的优质企业资质称号。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建设银行宝鸡分行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3</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善新贷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“善新贷”业务是指通过线上线下相结合模式，面向科技、工信等部门认定的专精特新、 高新技术、科技型、创新型小微企业，发放的用于满足其生产经营需求的人民币流动资金贷款业务。</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1.贷款额度最高1000万元；2.贷款期限：专精特新企业、高新技术企业—3年；科技型企业、创新型企业—1年；3.利率3.85％，随借随还；4.纯信用，无需抵押担保；5.线上申请，操作便捷。</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专精特新企业、高新技术企业、科技型企业、创新型企业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1.企业成立且实际经营2年（含）以上，或企业主具有3年（含）以上相关行业领域从业经验，且在建设银行开立对公结算账户。2.企业获得国家或地方政府评定的企业资质称号（获得上述四类称号之一即可）。</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建设银行宝鸡分行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4"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4</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西银e贷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信用类、担保类、抵押类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西银e贷基于税务场景，整合多维度数据源，以在线方式为主，向小微企业主及个体工商户提供的在线申请、用款和还款的个人授信业务。</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一键申请，提供多种授信方案：</w:t>
            </w:r>
            <w:r>
              <w:rPr>
                <w:rFonts w:hint="default" w:ascii="仿宋_GB2312" w:hAnsi="仿宋_GB2312" w:cs="仿宋_GB2312"/>
                <w:color w:val="auto"/>
                <w:sz w:val="21"/>
                <w:szCs w:val="21"/>
                <w:vertAlign w:val="baseline"/>
                <w:lang w:val="en-US" w:eastAsia="zh-CN"/>
              </w:rPr>
              <w:t>①</w:t>
            </w:r>
            <w:r>
              <w:rPr>
                <w:rFonts w:hint="eastAsia" w:ascii="仿宋_GB2312" w:hAnsi="仿宋_GB2312" w:cs="仿宋_GB2312"/>
                <w:color w:val="auto"/>
                <w:sz w:val="21"/>
                <w:szCs w:val="21"/>
                <w:vertAlign w:val="baseline"/>
                <w:lang w:val="en-US" w:eastAsia="zh-CN"/>
              </w:rPr>
              <w:t>信用贷款，最高200万元，贷款最长可累计使用18个月，按月付息到期一次性还本；</w:t>
            </w:r>
            <w:r>
              <w:rPr>
                <w:rFonts w:hint="default" w:ascii="仿宋_GB2312" w:hAnsi="仿宋_GB2312" w:cs="仿宋_GB2312"/>
                <w:color w:val="auto"/>
                <w:sz w:val="21"/>
                <w:szCs w:val="21"/>
                <w:vertAlign w:val="baseline"/>
                <w:lang w:val="en-US" w:eastAsia="zh-CN"/>
              </w:rPr>
              <w:t>②</w:t>
            </w:r>
            <w:r>
              <w:rPr>
                <w:rFonts w:hint="eastAsia" w:ascii="仿宋_GB2312" w:hAnsi="仿宋_GB2312" w:cs="仿宋_GB2312"/>
                <w:color w:val="auto"/>
                <w:sz w:val="21"/>
                <w:szCs w:val="21"/>
                <w:vertAlign w:val="baseline"/>
                <w:lang w:val="en-US" w:eastAsia="zh-CN"/>
              </w:rPr>
              <w:t>保证贷款，最高300万元，由指定担保公司提供担保，费率低，见贷即保，贷款期限最长12个月，按月付息到期一次性还本；</w:t>
            </w:r>
            <w:r>
              <w:rPr>
                <w:rFonts w:hint="default" w:ascii="仿宋_GB2312" w:hAnsi="仿宋_GB2312" w:cs="仿宋_GB2312"/>
                <w:color w:val="auto"/>
                <w:sz w:val="21"/>
                <w:szCs w:val="21"/>
                <w:vertAlign w:val="baseline"/>
                <w:lang w:val="en-US" w:eastAsia="zh-CN"/>
              </w:rPr>
              <w:t>③</w:t>
            </w:r>
            <w:r>
              <w:rPr>
                <w:rFonts w:hint="eastAsia" w:ascii="仿宋_GB2312" w:hAnsi="仿宋_GB2312" w:cs="仿宋_GB2312"/>
                <w:color w:val="auto"/>
                <w:sz w:val="21"/>
                <w:szCs w:val="21"/>
                <w:vertAlign w:val="baseline"/>
                <w:lang w:val="en-US" w:eastAsia="zh-CN"/>
              </w:rPr>
              <w:t>抵押贷款，最高500万元，抵押率最高可达80%，贷款期限最长5年，支持按月付息到期还本或按月付息按计划还本。</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小微企业主及个体工商户</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1.借款人为小微企业法定代表人且同时为企业股东或个体工商户负责人；2.企业注册满两年，连续两年足额纳税；3信用状况良好，无重大不良信用记录；4.银行要求的其他相关准入条件等。</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西安银行宝鸡分行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5</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创新积分贷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分行与宝鸡高新区科技局合作面向获得企业科技创新积分的科技型企业开发的专属信贷产品，依托科技创新积分放大授信额度，促进更多企业加大研发投入、提升成果转化、引进科技人才。</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纯信用、利率低、放款快”。该业务以创新积分为依据，全面考察企业经营状况、专利情况、缴税情况、信用情况等信息，采取阶梯式放大倍数的形式给予企业差异化授信额度，且在授信额度及有效期内可随借随还、循环使用。</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在宝鸡高新区内注册登记，具备独立法人资格、无重大违法和失信记录的科技型企业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申请企业获得宝鸡高新区创新积分不低于60分</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长安银行宝鸡分行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6</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科创贷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信用类、担保类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面向专精特新、高新技术企业、科技型中小企业等科技型企业，基于企业科创属性、征信、税务等数据，充分应用数据风控技术，为借款人提供用于生产经营周转、可循环使用的人民币流动资金贷款业务。根据产品的数字化、标准化程度区分为“科创惠贷”、“科创快贷”、“科创易贷”三种模式。</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科创贷”相较于传统授信以财务报表评价不同，它是银行面向重点科技型企业名单，基于企业科创属性、征信、税务等数据，提供的信用方式的流动资金贷款，支持添加担保方式，额度最高为3000万，纯线上模式额度最高为300万。</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专精特新企业、国家高新技术企业、科技型中小企业等国家部委牵头认定及重点培育的科技企业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企业满足以下条件可申请：1.企业现有融资银行（不含我行）不超过4家；2.企业近两年中，至少有一年实现盈利；3.企业有可靠的订单，可以保证企业当年有稳定的收入；4.企业近两年至少一年营业收入超过1500万；5.企业资产负债比不高于70%；6.企业销贷比不高于60%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 xml:space="preserve">招商银行宝鸡分行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7</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科贷通</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信用类、抵押类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支持科技型企业日常资金周转、科技研发、技术改造、成果转化、购置固定资产等经营活动。</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产品覆盖广，申请渠道多， 信用额度高，贷款利率低</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高新技术企业、专精特新企业、瞪羚企业、专精特新小巨人企业、新三板上市企业等</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国标小微企业；企业及实控人信用良好；关联关系人无违法犯罪行为或违反制裁规定的行为</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中国银行宝鸡分行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8</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科创快贷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信用类、抵押类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科创快贷是服务于科创企业的专属线上产品，依据科技型企业资质、税费缴纳、房产以及其他可反映经营状况及还款能力，客户通过一次申请，获取综合额度的授信。</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纯信用最高可贷2000万元，信用额度授信期限最长2年。抵押额度授信期限最长3年，单笔业务期限1年，可随借随还，支持无还本续贷。贷款一次还本分次付息。</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高新技术企业、科技型中小企业、国家制造业单项冠军、专精特新小巨人、国家技术创新示范企业等</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抵押方式的，企业需成立半年以上；信用模式的，企业需成立2年以上。</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交通银行宝鸡分行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9</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秦政贷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秦政贷是基于交通银行与省财政厅“陕西省政府采购信用融资平台”对接，实现政府采购中标、订单、融资、付款等信息的在线传输，为中标企业提供线上化、便捷化、智能化的信用贷款，期限最长1年，额度最高1000万元。</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额度核定方式灵活，额度最高授信1000万元；无需将应收账款质押；全程数据线上交互，无需政府进行确权；客户线上申请，线下标准化核实，业务期限最长1年。</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参与陕西省各级政府采购中标的供应商</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最新一期财务报表资产负债率不超过85%，近一年不得有环保处罚。</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交通银行宝鸡分行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10</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人才贷（法人版）</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人才贷是服务于由高层次人才、或人才团队设立的初创期小微企业的普惠线上融资产品。聚焦初创期科创小微企业经营特点，采用适配初创期企业特点的准入要求，结合人才资质、知识产权、投资额等多维度给予企业授信额度，为企业提供连贯的全生命周期服务。</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最高额1000万元，授信期限最长2年，单笔业务期限1年，信用方式。贷款一次还本分次付息。</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科创类小微企业，企业实控人为全国区域县（市、区）级以上人才计划的高层次人才、优质企业高层次人才、优质高校人才等。</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成立1年以上，有固定经营场所，企业工商注册非限制或禁止准入行业企业经营稳定，股东1年内变更不频繁，非总分行列入黑名单、特殊名单的企业，企业规模划型需为小型或微型。</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交通银行宝鸡分行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11</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科创e贷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面向拥有高质量的科技型小微企业，基于税务、科技特色数据的小微易贷信用产品，用于流动资金周转的线上贷款。</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线上申请、审批、放款，速度快，手续简单，最高授信1000万元。</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高新技术企业、专精特新、科技型中小企业等</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1.至少有一项自主研发的有效的发明专利或实用新型专利。2.纳税等级M级以上                                           具体以系统审批为准</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邮政储蓄银行宝鸡分行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12</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科创小企业贷款</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信用类、抵押类、担保类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向科创小企业发放的用于企业生产经营的人民币贷款业务，含流动资金贷款、固定资产贷款。</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担保方式灵活：信用、抵押、担保等。                      额度高，最高授信1亿元。</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高新技术企业、专精特新、科技型企业中小企业等</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企业连续正常经营1年及以上企业，最近1年主营业务收入不低于1000万元</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邮政储蓄银行宝鸡分行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13</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专精特新企业贷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11"/>
                <w:sz w:val="21"/>
                <w:szCs w:val="21"/>
                <w:vertAlign w:val="baseline"/>
                <w:lang w:val="en-US" w:eastAsia="zh-CN"/>
              </w:rPr>
              <w:t>结合专精特新申报数据及其他外部数据，为专精特新企业提供其用于日常生产经营周转的融资产品。</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线上测额、线上审批、随借随还、利率优惠。</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国家级专精特新企业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适用于经营活动正常、资信状况良好、符合银行政策要求，有短期流动资金需求的专精特新企业。</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光大银行宝鸡分行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2"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14</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科技E贷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信用类、担保类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向符合要求的优质科技型小微企业提供人民币流动资金贷款或固定资产贷款的融资业务。</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科技型小微专属,信用方式额度大,期限可长可短，担保方式灵活。</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优质科技型小微企业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11"/>
                <w:sz w:val="21"/>
                <w:szCs w:val="21"/>
                <w:vertAlign w:val="baseline"/>
                <w:lang w:val="en-US" w:eastAsia="zh-CN"/>
              </w:rPr>
            </w:pPr>
            <w:r>
              <w:rPr>
                <w:rFonts w:hint="eastAsia" w:ascii="仿宋_GB2312" w:hAnsi="仿宋_GB2312" w:cs="仿宋_GB2312"/>
                <w:bCs/>
                <w:color w:val="auto"/>
                <w:spacing w:val="-11"/>
                <w:sz w:val="21"/>
                <w:szCs w:val="21"/>
                <w:vertAlign w:val="baseline"/>
                <w:lang w:val="en-US" w:eastAsia="zh-CN"/>
              </w:rPr>
              <w:t>符合下列条件之一的小微企业，可办理“科技e贷”业务。</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11"/>
                <w:sz w:val="21"/>
                <w:szCs w:val="21"/>
                <w:vertAlign w:val="baseline"/>
                <w:lang w:val="en-US" w:eastAsia="zh-CN"/>
              </w:rPr>
              <w:t>1.有效期内的专精特新“小巨人”企业、专精特新中小企业和创新型中小企业。2.高新技术企业和科技型中小企业。3.行业属于国家重点支持的高新技术领域，且研发投入总额超过销售收入总额的5%，近三年营业收入年增速不低于10%，拥有核心技术或知识产权的企业。4.高层次人才为企业原始股东（持股比例不低于20%）、法定代表人或实际控制人。高层次人才的具体认定标准为：1.国家级人才：包括国际大奖获得者、国家最高科学技术奖项获得者、中国科学院院士、中国工程院院士以及国家主管部委评选认定的人才计划清单内人员，如“万人计划”、“长江学者”、“青年长江学者”等；2.省级人才：包括各省人才引进计划人才，省属主管机构评选认定的人才清单内人员。</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农业银行宝鸡分行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15</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创新积分贷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信用类、抵押类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
                <w:bCs w:val="0"/>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向符合要求的优质科创企业提供流动资金贷款或固定资产贷款的融资业务。</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创新积分制评价体系,贷款品种多样，担保方式灵活,创新理论授信模型，名单制管理</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优质科创企业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11"/>
                <w:sz w:val="21"/>
                <w:szCs w:val="21"/>
                <w:vertAlign w:val="baseline"/>
                <w:lang w:val="en-US" w:eastAsia="zh-CN"/>
              </w:rPr>
            </w:pPr>
            <w:r>
              <w:rPr>
                <w:rFonts w:hint="eastAsia" w:ascii="仿宋_GB2312" w:hAnsi="仿宋_GB2312" w:cs="仿宋_GB2312"/>
                <w:bCs/>
                <w:color w:val="auto"/>
                <w:spacing w:val="-11"/>
                <w:sz w:val="21"/>
                <w:szCs w:val="21"/>
                <w:vertAlign w:val="baseline"/>
                <w:lang w:val="en-US" w:eastAsia="zh-CN"/>
              </w:rPr>
              <w:t>应纳入科技部火炬中心“企业创新积分制”管理，并须符合下列条件之一：</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11"/>
                <w:sz w:val="21"/>
                <w:szCs w:val="21"/>
                <w:vertAlign w:val="baseline"/>
                <w:lang w:val="en-US" w:eastAsia="zh-CN"/>
              </w:rPr>
            </w:pPr>
            <w:r>
              <w:rPr>
                <w:rFonts w:hint="eastAsia" w:ascii="仿宋_GB2312" w:hAnsi="仿宋_GB2312" w:cs="仿宋_GB2312"/>
                <w:bCs/>
                <w:color w:val="auto"/>
                <w:spacing w:val="-11"/>
                <w:sz w:val="21"/>
                <w:szCs w:val="21"/>
                <w:vertAlign w:val="baseline"/>
                <w:lang w:val="en-US" w:eastAsia="zh-CN"/>
              </w:rPr>
              <w:t>1.科技部火炬中心年度公布的企业创新积分高于60分的企业。2.国家高新技术产业开发区评定的创新积分排名前10%的企业。</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农业银行宝鸡分行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16</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专精特新</w:t>
            </w:r>
            <w:r>
              <w:rPr>
                <w:rFonts w:hint="default" w:ascii="仿宋_GB2312" w:hAnsi="仿宋_GB2312" w:cs="仿宋_GB2312"/>
                <w:bCs/>
                <w:color w:val="auto"/>
                <w:spacing w:val="0"/>
                <w:sz w:val="21"/>
                <w:szCs w:val="21"/>
                <w:vertAlign w:val="baseline"/>
                <w:lang w:val="en" w:eastAsia="zh-CN"/>
              </w:rPr>
              <w:t>“</w:t>
            </w:r>
            <w:r>
              <w:rPr>
                <w:rFonts w:hint="eastAsia" w:ascii="仿宋_GB2312" w:hAnsi="仿宋_GB2312" w:cs="仿宋_GB2312"/>
                <w:bCs/>
                <w:color w:val="auto"/>
                <w:spacing w:val="0"/>
                <w:sz w:val="21"/>
                <w:szCs w:val="21"/>
                <w:vertAlign w:val="baseline"/>
                <w:lang w:val="en-US" w:eastAsia="zh-CN"/>
              </w:rPr>
              <w:t>小巨人</w:t>
            </w:r>
            <w:bookmarkStart w:id="0" w:name="_GoBack"/>
            <w:bookmarkEnd w:id="0"/>
            <w:r>
              <w:rPr>
                <w:rFonts w:hint="default" w:ascii="仿宋_GB2312" w:hAnsi="仿宋_GB2312" w:cs="仿宋_GB2312"/>
                <w:bCs/>
                <w:color w:val="auto"/>
                <w:spacing w:val="0"/>
                <w:sz w:val="21"/>
                <w:szCs w:val="21"/>
                <w:vertAlign w:val="baseline"/>
                <w:lang w:val="en" w:eastAsia="zh-CN"/>
              </w:rPr>
              <w:t>”</w:t>
            </w:r>
            <w:r>
              <w:rPr>
                <w:rFonts w:hint="eastAsia" w:ascii="仿宋_GB2312" w:hAnsi="仿宋_GB2312" w:cs="仿宋_GB2312"/>
                <w:bCs/>
                <w:color w:val="auto"/>
                <w:spacing w:val="0"/>
                <w:sz w:val="21"/>
                <w:szCs w:val="21"/>
                <w:vertAlign w:val="baseline"/>
                <w:lang w:val="en-US" w:eastAsia="zh-CN"/>
              </w:rPr>
              <w:t>信用贷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1.最高5000万，以授信审批金额为准。2.贷款期限：最长3年。3.担保方式：信用，企业法定代表人或实际控制人及其配偶提供个人无限连带责任保证担保。4.还款方式：根据企业经营模式及运营资金周转情况合理确定还款计划。</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适合专精特新优质企业</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已获得国家工业和信息化部认证的国家级专精特新“小巨人”资质企业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11"/>
                <w:sz w:val="21"/>
                <w:szCs w:val="21"/>
                <w:vertAlign w:val="baseline"/>
                <w:lang w:val="en-US" w:eastAsia="zh-CN"/>
              </w:rPr>
            </w:pPr>
            <w:r>
              <w:rPr>
                <w:rFonts w:hint="eastAsia" w:ascii="仿宋_GB2312" w:hAnsi="仿宋_GB2312" w:cs="仿宋_GB2312"/>
                <w:bCs/>
                <w:color w:val="auto"/>
                <w:spacing w:val="-11"/>
                <w:sz w:val="21"/>
                <w:szCs w:val="21"/>
                <w:vertAlign w:val="baseline"/>
                <w:lang w:val="en-US" w:eastAsia="zh-CN"/>
              </w:rPr>
              <w:t>1.经国家工业和信息化部认定的国家级专精特新“小巨人”企业；2.企业经市场监督管理部门核准登记，且注册在分行辖区区域，有固定经营场所；3.企业划型为中型、小型及微型企业；如企业因自身发展成长为大型企业的，应在客户准入时核实其专精特新“小巨人”资质有效，符合国家产业政策和浦发银行信贷政策，依法合规从事生产经营，并能够依法纳税；4.企业管理队伍稳定，技术领先，盈利模式清晰，主要产品或服务已获得市场认可。</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浦发银行宝鸡分行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17</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兴速贷（优质科创企业专属）</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信用类、担保类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针对优质科创企业开发专属数据模型，对符合模型准入的企业，系统自动核定授信额度并发放贷款的线上融资业务。</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线上办理、快速审批、随借随还、循环使用、随借随还、担保灵活。</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专精特新“小巨人”、省级专精特新企业、兴业银行优选白名单投资机构被投企业等</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国家级专精特新“小巨人”、省级专精特新企业、兴业银行优选白名单投资机构被投企业以及其他优质科创企业；企业及企业主资信情况良好，当前无不良信用记录；本行其他制度规定的准入条件等。</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兴业银行宝鸡分行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18</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科技履约贷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信用类、抵押类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11"/>
                <w:sz w:val="21"/>
                <w:szCs w:val="21"/>
                <w:vertAlign w:val="baseline"/>
                <w:lang w:val="en-US" w:eastAsia="zh-CN"/>
              </w:rPr>
              <w:t>重点支持陕西省及西安市政府基金支持范围内的科创企业。主要有：1.知识产权质押贷款，贷款期限原则上不超过1年，贷款额度不高于1000万元。2.技术交易信用贷，用于生产经营的无抵押、无担保流动资金贷款。贷款期限原则上不超过1年，贷款额度不高于1000万元。3.技术研发信用贷，针对有研发需求的“专精特新企业”“瞪羚企业”通过信用贷款或无形资产质押贷款的方式提供的3-5年期的贷款业务。贷款额度不高于1000万元。</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1.贷款金额：最高3000万元，以授信审批金额为准。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2贷款期限：最长不超过两年。</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3.担保方式：信用、信用+担保（抵押、其他权利质押、保证）</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高新技术企业、科技型中小企业、认定的技术合同企业、“工信贷”白名单企业、纳入陕西省科技厅拟上市重点培育库的科创企业等</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1.获得科技相关认定资格，如高新技术企业、国际科技型中小企业库入库企业等；2.具有经认定的技术合同企业；3.“工信贷”白名单企业，即纳入陕西省23条重点产业链“链主”企业供应商目录清单的省内中小微企业；经陕西省省级以上工业和信息化主管部门认定的“专精特新”中小企业；4.纳入陕西省科技厅拟上市重点培育库的科创企业</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浦发银行宝鸡分行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19</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投贷联动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贷款</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抵押类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针对合作投资机构已投资（或拟投资）的“专精特新”中小企业，按照已引入或拟引入投资金额的一定比例为企业提供债权融资的业务。</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快速评审、灵活担保、用途多元</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高新技术企业、战略性新兴产业内已引入股权投资或拟引入股权投资的专精特新中小企业。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为本行“投贷联动贷款”业务合作名单内的投资机构及其下属基金已投资或拟投资入股企业；不存在本行企业金融业务反洗钱相关要求所禁止客户准入的情形；本行其他制度规定的准入条件等。</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兴业银行宝鸡分行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20</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易创E贷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满足专精特新企业便捷化融资需求，综合应用合作平台数据信息，通过数字化、智能化风控手段，实现自动审批、便捷提款的专精特新专属信用贷款产品。</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智能风控、审批便捷、流程简约</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专精特新</w:t>
            </w:r>
            <w:r>
              <w:rPr>
                <w:rFonts w:hint="default" w:ascii="仿宋_GB2312" w:hAnsi="仿宋_GB2312" w:cs="仿宋_GB2312"/>
                <w:bCs/>
                <w:color w:val="auto"/>
                <w:spacing w:val="0"/>
                <w:sz w:val="21"/>
                <w:szCs w:val="21"/>
                <w:vertAlign w:val="baseline"/>
                <w:lang w:val="en" w:eastAsia="zh-CN"/>
              </w:rPr>
              <w:t>“</w:t>
            </w:r>
            <w:r>
              <w:rPr>
                <w:rFonts w:hint="eastAsia" w:ascii="仿宋_GB2312" w:hAnsi="仿宋_GB2312" w:cs="仿宋_GB2312"/>
                <w:bCs/>
                <w:color w:val="auto"/>
                <w:spacing w:val="0"/>
                <w:sz w:val="21"/>
                <w:szCs w:val="21"/>
                <w:vertAlign w:val="baseline"/>
                <w:lang w:val="en-US" w:eastAsia="zh-CN"/>
              </w:rPr>
              <w:t>小巨人</w:t>
            </w:r>
            <w:r>
              <w:rPr>
                <w:rFonts w:hint="default" w:ascii="仿宋_GB2312" w:hAnsi="仿宋_GB2312" w:cs="仿宋_GB2312"/>
                <w:bCs/>
                <w:color w:val="auto"/>
                <w:spacing w:val="0"/>
                <w:sz w:val="21"/>
                <w:szCs w:val="21"/>
                <w:vertAlign w:val="baseline"/>
                <w:lang w:val="en" w:eastAsia="zh-CN"/>
              </w:rPr>
              <w:t>”</w:t>
            </w:r>
            <w:r>
              <w:rPr>
                <w:rFonts w:hint="eastAsia" w:ascii="仿宋_GB2312" w:hAnsi="仿宋_GB2312" w:cs="仿宋_GB2312"/>
                <w:bCs/>
                <w:color w:val="auto"/>
                <w:spacing w:val="0"/>
                <w:sz w:val="21"/>
                <w:szCs w:val="21"/>
                <w:vertAlign w:val="baseline"/>
                <w:lang w:val="en-US" w:eastAsia="zh-CN"/>
              </w:rPr>
              <w:t>企业、专精特新中小企业、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1.专精特新“小巨人”、专精特新中小名单内企业。2成立两年（含）以上。3.不涉及国家产业政策明确限制及禁止类行业以及房地产、互联网金融、P2P等行业。4.借款人正常经营，具备持续经营能力和还款能力。5.借款人工商、税务、司法、征信记录良好，不存在不良记录、重大负面信息或可能对企业持续经营造成实质影响的重大未决事项。6.符合监管机构及我行对反洗钱、关联交易、集团授信等合规性审查管理要求，洗钱风险等级不得为较高风险及以上。7.实控人个人信用状况良好，司法、征信等三方数据核查无较大负面信息，不在失信人及本行黑名单内，不存在刑事涉案、民间借贷、非法集资、“黄赌毒”、逃废债、被限制高消费或其他重大违规违法情形。</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民生银行宝鸡分行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21</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专精特新贷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信用类、担保类、抵押类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11"/>
                <w:sz w:val="21"/>
                <w:szCs w:val="21"/>
                <w:vertAlign w:val="baseline"/>
                <w:lang w:val="en-US" w:eastAsia="zh-CN"/>
              </w:rPr>
            </w:pPr>
            <w:r>
              <w:rPr>
                <w:rFonts w:hint="eastAsia" w:ascii="仿宋_GB2312" w:hAnsi="仿宋_GB2312" w:cs="仿宋_GB2312"/>
                <w:bCs/>
                <w:color w:val="auto"/>
                <w:spacing w:val="-11"/>
                <w:sz w:val="21"/>
                <w:szCs w:val="21"/>
                <w:vertAlign w:val="baseline"/>
                <w:lang w:val="en-US" w:eastAsia="zh-CN"/>
              </w:rPr>
              <w:t>向专精特新小巨人或专精特新中小企业发放的经营周转类贷款或置换他行流动资金类贷款，灵活采用信用、抵押、质押或风险分担等担保方式。</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额度、期限、担保方式灵活，可用于支持企业的日常生产经营周转。</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小微企业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1.专精特新“小巨人”企业或省“专精特新”中小企业（含拥有被认定为“专精特新”产品的中小企业）。2.企业成立满两年或实际控制人具备两年（含）以上的同行业从业经历和行业经验。</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恒丰银行</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22</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网络应收贷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11"/>
                <w:sz w:val="21"/>
                <w:szCs w:val="21"/>
                <w:vertAlign w:val="baseline"/>
                <w:lang w:val="en-US" w:eastAsia="zh-CN"/>
              </w:rPr>
            </w:pPr>
            <w:r>
              <w:rPr>
                <w:rFonts w:hint="eastAsia" w:ascii="仿宋_GB2312" w:hAnsi="仿宋_GB2312" w:cs="仿宋_GB2312"/>
                <w:bCs/>
                <w:color w:val="auto"/>
                <w:spacing w:val="-11"/>
                <w:sz w:val="21"/>
                <w:szCs w:val="21"/>
                <w:vertAlign w:val="baseline"/>
                <w:lang w:val="en-US" w:eastAsia="zh-CN"/>
              </w:rPr>
              <w:t>网络应收贷是指以银行搭建的供应链金融系统为基础，依托核心企业资信状况，以供应商赊销项下应收账款转让为风险控制方式，以交易信息真实性和核心企业远期付款能力为实质性风险评价指标，通过银企直联、网银互联等方式进行内外部系统对接，为供应链中核心企业的上游供应商提供线上化操作的网络融资业务模式。</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11"/>
                <w:sz w:val="21"/>
                <w:szCs w:val="21"/>
                <w:vertAlign w:val="baseline"/>
                <w:lang w:val="en-US" w:eastAsia="zh-CN"/>
              </w:rPr>
              <w:t>1.加快周转：银行以即付现金的方式提供融资，加快企业资金周转；加快回笼销售资金，确认收入和利润。2.操作便捷：通过银企直连及我行网银，实现核心企业、数据提供方等的数据在线获取，授信客户通过企业网银在线登陆，实现业务在线审批、在线放款、在线债权确认、在线对账等功能。3.流程高效：业务流程网上操作，高效完成各环节工作。</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小微企业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1.符合国家产业政策、环保政策和我行信贷政策，所处行业稳定，企业效益良好，有健全的经营管理体系。2.经营管理规范，市场定位明确。3.无不良商业信用记录。</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恒丰银行</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23</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专精特新企业综合保险</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综合保险</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11"/>
                <w:sz w:val="21"/>
                <w:szCs w:val="21"/>
                <w:vertAlign w:val="baseline"/>
                <w:lang w:val="en-US" w:eastAsia="zh-CN"/>
              </w:rPr>
            </w:pPr>
            <w:r>
              <w:rPr>
                <w:rFonts w:hint="eastAsia" w:ascii="仿宋_GB2312" w:hAnsi="仿宋_GB2312" w:cs="仿宋_GB2312"/>
                <w:bCs/>
                <w:color w:val="auto"/>
                <w:spacing w:val="-11"/>
                <w:sz w:val="21"/>
                <w:szCs w:val="21"/>
                <w:vertAlign w:val="baseline"/>
                <w:lang w:val="en-US" w:eastAsia="zh-CN"/>
              </w:rPr>
              <w:t>专精特新企业综合保险由3款主险责任（财产险、研发中断费用损失保险、雇主责任险）和7款附加险（关键研发设备保险、产品研发责任保险和5种知识产权责任保险）责任组成，承保时可选择任意一项或多项主险责任承保，承保任意一项主险责任后，所有附加险均可承保，可灵活组合。</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保障全面满足企业需求</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专精特新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方案涉及条款均已备案</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宋体" w:hAnsi="宋体" w:cs="宋体"/>
                <w:bCs/>
                <w:spacing w:val="0"/>
                <w:sz w:val="24"/>
                <w:szCs w:val="24"/>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中国人民财产保险股份有限公司宝鸡市分公司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24</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知识产权质押融资保证保险</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保证保险</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以政府专项资金用于风险补偿、保险为借款人提供还款保证，银行在保险基础上发放贷的政策性贷款保证保险业务模式，以专利质押、商标质押为主。</w:t>
            </w:r>
          </w:p>
        </w:tc>
        <w:tc>
          <w:tcPr>
            <w:tcW w:w="2073"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eastAsia="仿宋_GB2312" w:cs="仿宋_GB2312"/>
                <w:bCs/>
                <w:color w:val="auto"/>
                <w:spacing w:val="-6"/>
                <w:kern w:val="2"/>
                <w:sz w:val="21"/>
                <w:szCs w:val="21"/>
                <w:vertAlign w:val="baseline"/>
                <w:lang w:val="en-US" w:eastAsia="zh-CN" w:bidi="ar-SA"/>
              </w:rPr>
              <w:t>政府、合作银行和保险公司按照一定比例承担最终损失，充分发挥政、银、保合作的优势，达到三方共同参与，共同把控业务风险的目的，有特定的企业商圈。</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eastAsia="仿宋_GB2312" w:cs="仿宋_GB2312"/>
                <w:bCs/>
                <w:color w:val="auto"/>
                <w:spacing w:val="0"/>
                <w:kern w:val="2"/>
                <w:sz w:val="21"/>
                <w:szCs w:val="21"/>
                <w:vertAlign w:val="baseline"/>
                <w:lang w:val="en-US" w:eastAsia="zh-CN" w:bidi="ar-SA"/>
              </w:rPr>
              <w:t>政府重点扶持的轻资产科技企业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color w:val="auto"/>
                <w:spacing w:val="0"/>
                <w:kern w:val="2"/>
                <w:sz w:val="21"/>
                <w:szCs w:val="21"/>
                <w:vertAlign w:val="baseline"/>
                <w:lang w:val="en-US" w:eastAsia="zh-CN" w:bidi="ar-SA"/>
              </w:rPr>
            </w:pPr>
            <w:r>
              <w:rPr>
                <w:rFonts w:hint="eastAsia" w:ascii="仿宋_GB2312" w:hAnsi="仿宋_GB2312" w:cs="仿宋_GB2312"/>
                <w:bCs/>
                <w:color w:val="auto"/>
                <w:spacing w:val="0"/>
                <w:kern w:val="2"/>
                <w:sz w:val="21"/>
                <w:szCs w:val="21"/>
                <w:vertAlign w:val="baseline"/>
                <w:lang w:val="en-US" w:eastAsia="zh-CN" w:bidi="ar-SA"/>
              </w:rPr>
              <w:t>1.</w:t>
            </w:r>
            <w:r>
              <w:rPr>
                <w:rFonts w:hint="eastAsia" w:ascii="仿宋_GB2312" w:hAnsi="仿宋_GB2312" w:eastAsia="仿宋_GB2312" w:cs="仿宋_GB2312"/>
                <w:bCs/>
                <w:color w:val="auto"/>
                <w:spacing w:val="0"/>
                <w:kern w:val="2"/>
                <w:sz w:val="21"/>
                <w:szCs w:val="21"/>
                <w:vertAlign w:val="baseline"/>
                <w:lang w:val="en-US" w:eastAsia="zh-CN" w:bidi="ar-SA"/>
              </w:rPr>
              <w:t>可持续发展的中小企业</w:t>
            </w:r>
            <w:r>
              <w:rPr>
                <w:rFonts w:hint="eastAsia" w:ascii="仿宋_GB2312" w:hAnsi="仿宋_GB2312" w:cs="仿宋_GB2312"/>
                <w:bCs/>
                <w:color w:val="auto"/>
                <w:spacing w:val="0"/>
                <w:kern w:val="2"/>
                <w:sz w:val="21"/>
                <w:szCs w:val="21"/>
                <w:vertAlign w:val="baseline"/>
                <w:lang w:val="en-US" w:eastAsia="zh-CN" w:bidi="ar-SA"/>
              </w:rPr>
              <w:t>。2.</w:t>
            </w:r>
            <w:r>
              <w:rPr>
                <w:rFonts w:hint="eastAsia" w:ascii="仿宋_GB2312" w:hAnsi="仿宋_GB2312" w:eastAsia="仿宋_GB2312" w:cs="仿宋_GB2312"/>
                <w:bCs/>
                <w:color w:val="auto"/>
                <w:spacing w:val="0"/>
                <w:kern w:val="2"/>
                <w:sz w:val="21"/>
                <w:szCs w:val="21"/>
                <w:vertAlign w:val="baseline"/>
                <w:lang w:val="en-US" w:eastAsia="zh-CN" w:bidi="ar-SA"/>
              </w:rPr>
              <w:t>正常生产经营，纳税等公开信息良好的企业</w:t>
            </w:r>
            <w:r>
              <w:rPr>
                <w:rFonts w:hint="eastAsia" w:ascii="仿宋_GB2312" w:hAnsi="仿宋_GB2312" w:cs="仿宋_GB2312"/>
                <w:bCs/>
                <w:color w:val="auto"/>
                <w:spacing w:val="0"/>
                <w:kern w:val="2"/>
                <w:sz w:val="21"/>
                <w:szCs w:val="21"/>
                <w:vertAlign w:val="baseline"/>
                <w:lang w:val="en-US" w:eastAsia="zh-CN" w:bidi="ar-SA"/>
              </w:rPr>
              <w:t>。3.</w:t>
            </w:r>
            <w:r>
              <w:rPr>
                <w:rFonts w:hint="eastAsia" w:ascii="仿宋_GB2312" w:hAnsi="仿宋_GB2312" w:eastAsia="仿宋_GB2312" w:cs="仿宋_GB2312"/>
                <w:bCs/>
                <w:color w:val="auto"/>
                <w:spacing w:val="0"/>
                <w:kern w:val="2"/>
                <w:sz w:val="21"/>
                <w:szCs w:val="21"/>
                <w:vertAlign w:val="baseline"/>
                <w:lang w:val="en-US" w:eastAsia="zh-CN" w:bidi="ar-SA"/>
              </w:rPr>
              <w:t>政府政策</w:t>
            </w:r>
            <w:r>
              <w:rPr>
                <w:rFonts w:hint="eastAsia" w:ascii="仿宋_GB2312" w:hAnsi="仿宋_GB2312" w:cs="仿宋_GB2312"/>
                <w:bCs/>
                <w:color w:val="auto"/>
                <w:spacing w:val="0"/>
                <w:kern w:val="2"/>
                <w:sz w:val="21"/>
                <w:szCs w:val="21"/>
                <w:vertAlign w:val="baseline"/>
                <w:lang w:val="en-US" w:eastAsia="zh-CN" w:bidi="ar-SA"/>
              </w:rPr>
              <w:t>扶持</w:t>
            </w:r>
            <w:r>
              <w:rPr>
                <w:rFonts w:hint="eastAsia" w:ascii="仿宋_GB2312" w:hAnsi="仿宋_GB2312" w:eastAsia="仿宋_GB2312" w:cs="仿宋_GB2312"/>
                <w:bCs/>
                <w:color w:val="auto"/>
                <w:spacing w:val="0"/>
                <w:kern w:val="2"/>
                <w:sz w:val="21"/>
                <w:szCs w:val="21"/>
                <w:vertAlign w:val="baseline"/>
                <w:lang w:val="en-US" w:eastAsia="zh-CN" w:bidi="ar-SA"/>
              </w:rPr>
              <w:t>的中小企业</w:t>
            </w:r>
            <w:r>
              <w:rPr>
                <w:rFonts w:hint="eastAsia" w:ascii="仿宋_GB2312" w:hAnsi="仿宋_GB2312" w:cs="仿宋_GB2312"/>
                <w:bCs/>
                <w:color w:val="auto"/>
                <w:spacing w:val="0"/>
                <w:kern w:val="2"/>
                <w:sz w:val="21"/>
                <w:szCs w:val="21"/>
                <w:vertAlign w:val="baseline"/>
                <w:lang w:val="en-US" w:eastAsia="zh-CN" w:bidi="ar-SA"/>
              </w:rPr>
              <w:t>。</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pacing w:val="0"/>
                <w:kern w:val="2"/>
                <w:sz w:val="21"/>
                <w:szCs w:val="21"/>
                <w:vertAlign w:val="baseline"/>
                <w:lang w:val="en-US" w:eastAsia="zh-CN" w:bidi="ar-SA"/>
              </w:rPr>
            </w:pPr>
            <w:r>
              <w:rPr>
                <w:rFonts w:hint="eastAsia" w:ascii="仿宋_GB2312" w:hAnsi="仿宋_GB2312" w:eastAsia="仿宋_GB2312" w:cs="仿宋_GB2312"/>
                <w:bCs/>
                <w:color w:val="auto"/>
                <w:spacing w:val="0"/>
                <w:kern w:val="2"/>
                <w:sz w:val="21"/>
                <w:szCs w:val="21"/>
                <w:vertAlign w:val="baseline"/>
                <w:lang w:val="en-US" w:eastAsia="zh-CN" w:bidi="ar-SA"/>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vertAlign w:val="baseline"/>
                <w:lang w:val="en-US" w:eastAsia="zh-CN" w:bidi="ar-SA"/>
              </w:rPr>
            </w:pPr>
            <w:r>
              <w:rPr>
                <w:rFonts w:hint="eastAsia" w:ascii="仿宋_GB2312" w:hAnsi="仿宋_GB2312" w:eastAsia="仿宋_GB2312" w:cs="仿宋_GB2312"/>
                <w:bCs/>
                <w:color w:val="auto"/>
                <w:spacing w:val="0"/>
                <w:kern w:val="2"/>
                <w:sz w:val="21"/>
                <w:szCs w:val="21"/>
                <w:vertAlign w:val="baseline"/>
                <w:lang w:val="en-US" w:eastAsia="zh-CN" w:bidi="ar-SA"/>
              </w:rPr>
              <w:t>中国人民财产保险股份有限公司宝鸡市分公司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pacing w:val="0"/>
                <w:kern w:val="2"/>
                <w:sz w:val="21"/>
                <w:szCs w:val="21"/>
                <w:vertAlign w:val="baseline"/>
                <w:lang w:val="en-US" w:eastAsia="zh-CN" w:bidi="ar-SA"/>
              </w:rPr>
            </w:pPr>
            <w:r>
              <w:rPr>
                <w:rFonts w:hint="eastAsia" w:ascii="仿宋_GB2312" w:hAnsi="仿宋_GB2312" w:eastAsia="仿宋_GB2312" w:cs="仿宋_GB2312"/>
                <w:bCs/>
                <w:color w:val="auto"/>
                <w:spacing w:val="0"/>
                <w:kern w:val="2"/>
                <w:sz w:val="21"/>
                <w:szCs w:val="21"/>
                <w:vertAlign w:val="baseline"/>
                <w:lang w:val="en-US" w:eastAsia="zh-CN" w:bidi="ar-SA"/>
              </w:rPr>
              <w:t>25</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中小企业贷款保证保险</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保证保险</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针对中小企业流动资金少，融资难的特点，筛选优质的有发展的中小企业购买保证保险来获得融资。</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eastAsia="仿宋_GB2312" w:cs="仿宋_GB2312"/>
                <w:bCs/>
                <w:color w:val="auto"/>
                <w:spacing w:val="-6"/>
                <w:kern w:val="2"/>
                <w:sz w:val="21"/>
                <w:szCs w:val="21"/>
                <w:vertAlign w:val="baseline"/>
                <w:lang w:val="en-US" w:eastAsia="zh-CN" w:bidi="ar-SA"/>
              </w:rPr>
              <w:t>政府、合作银行和保险公司按照一定比例承担最终损失，充分发挥政、银、保合作的优势，达到三方共同参与，共同把控业务风险的目的。</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eastAsia="仿宋_GB2312" w:cs="仿宋_GB2312"/>
                <w:bCs/>
                <w:color w:val="auto"/>
                <w:spacing w:val="0"/>
                <w:kern w:val="2"/>
                <w:sz w:val="21"/>
                <w:szCs w:val="21"/>
                <w:vertAlign w:val="baseline"/>
                <w:lang w:val="en-US" w:eastAsia="zh-CN" w:bidi="ar-SA"/>
              </w:rPr>
              <w:t>政府重点扶持企业；区域内发展良好的白名单企业。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kern w:val="2"/>
                <w:sz w:val="21"/>
                <w:szCs w:val="21"/>
                <w:vertAlign w:val="baseline"/>
                <w:lang w:val="en-US" w:eastAsia="zh-CN" w:bidi="ar-SA"/>
              </w:rPr>
              <w:t>1.</w:t>
            </w:r>
            <w:r>
              <w:rPr>
                <w:rFonts w:hint="eastAsia" w:ascii="仿宋_GB2312" w:hAnsi="仿宋_GB2312" w:eastAsia="仿宋_GB2312" w:cs="仿宋_GB2312"/>
                <w:bCs/>
                <w:color w:val="auto"/>
                <w:spacing w:val="0"/>
                <w:kern w:val="2"/>
                <w:sz w:val="21"/>
                <w:szCs w:val="21"/>
                <w:vertAlign w:val="baseline"/>
                <w:lang w:val="en-US" w:eastAsia="zh-CN" w:bidi="ar-SA"/>
              </w:rPr>
              <w:t>可持续发展的需要融资的中小企业</w:t>
            </w:r>
            <w:r>
              <w:rPr>
                <w:rFonts w:hint="eastAsia" w:ascii="仿宋_GB2312" w:hAnsi="仿宋_GB2312" w:cs="仿宋_GB2312"/>
                <w:bCs/>
                <w:color w:val="auto"/>
                <w:spacing w:val="0"/>
                <w:kern w:val="2"/>
                <w:sz w:val="21"/>
                <w:szCs w:val="21"/>
                <w:vertAlign w:val="baseline"/>
                <w:lang w:val="en-US" w:eastAsia="zh-CN" w:bidi="ar-SA"/>
              </w:rPr>
              <w:t>。</w:t>
            </w:r>
            <w:r>
              <w:rPr>
                <w:rFonts w:hint="eastAsia" w:ascii="仿宋_GB2312" w:hAnsi="仿宋_GB2312" w:eastAsia="仿宋_GB2312" w:cs="仿宋_GB2312"/>
                <w:bCs/>
                <w:color w:val="auto"/>
                <w:spacing w:val="0"/>
                <w:kern w:val="2"/>
                <w:sz w:val="21"/>
                <w:szCs w:val="21"/>
                <w:vertAlign w:val="baseline"/>
                <w:lang w:val="en-US" w:eastAsia="zh-CN" w:bidi="ar-SA"/>
              </w:rPr>
              <w:t>2</w:t>
            </w:r>
            <w:r>
              <w:rPr>
                <w:rFonts w:hint="eastAsia" w:ascii="仿宋_GB2312" w:hAnsi="仿宋_GB2312" w:cs="仿宋_GB2312"/>
                <w:bCs/>
                <w:color w:val="auto"/>
                <w:spacing w:val="0"/>
                <w:kern w:val="2"/>
                <w:sz w:val="21"/>
                <w:szCs w:val="21"/>
                <w:vertAlign w:val="baseline"/>
                <w:lang w:val="en-US" w:eastAsia="zh-CN" w:bidi="ar-SA"/>
              </w:rPr>
              <w:t>.</w:t>
            </w:r>
            <w:r>
              <w:rPr>
                <w:rFonts w:hint="eastAsia" w:ascii="仿宋_GB2312" w:hAnsi="仿宋_GB2312" w:eastAsia="仿宋_GB2312" w:cs="仿宋_GB2312"/>
                <w:bCs/>
                <w:color w:val="auto"/>
                <w:spacing w:val="0"/>
                <w:kern w:val="2"/>
                <w:sz w:val="21"/>
                <w:szCs w:val="21"/>
                <w:vertAlign w:val="baseline"/>
                <w:lang w:val="en-US" w:eastAsia="zh-CN" w:bidi="ar-SA"/>
              </w:rPr>
              <w:t>正常生产经营，纳税等公开信息良好的企业</w:t>
            </w:r>
            <w:r>
              <w:rPr>
                <w:rFonts w:hint="eastAsia" w:ascii="仿宋_GB2312" w:hAnsi="仿宋_GB2312" w:cs="仿宋_GB2312"/>
                <w:bCs/>
                <w:color w:val="auto"/>
                <w:spacing w:val="0"/>
                <w:kern w:val="2"/>
                <w:sz w:val="21"/>
                <w:szCs w:val="21"/>
                <w:vertAlign w:val="baseline"/>
                <w:lang w:val="en-US" w:eastAsia="zh-CN" w:bidi="ar-SA"/>
              </w:rPr>
              <w:t>。</w:t>
            </w:r>
            <w:r>
              <w:rPr>
                <w:rFonts w:hint="eastAsia" w:ascii="仿宋_GB2312" w:hAnsi="仿宋_GB2312" w:eastAsia="仿宋_GB2312" w:cs="仿宋_GB2312"/>
                <w:bCs/>
                <w:color w:val="auto"/>
                <w:spacing w:val="0"/>
                <w:kern w:val="2"/>
                <w:sz w:val="21"/>
                <w:szCs w:val="21"/>
                <w:vertAlign w:val="baseline"/>
                <w:lang w:val="en-US" w:eastAsia="zh-CN" w:bidi="ar-SA"/>
              </w:rPr>
              <w:t>3</w:t>
            </w:r>
            <w:r>
              <w:rPr>
                <w:rFonts w:hint="eastAsia" w:ascii="仿宋_GB2312" w:hAnsi="仿宋_GB2312" w:cs="仿宋_GB2312"/>
                <w:bCs/>
                <w:color w:val="auto"/>
                <w:spacing w:val="0"/>
                <w:kern w:val="2"/>
                <w:sz w:val="21"/>
                <w:szCs w:val="21"/>
                <w:vertAlign w:val="baseline"/>
                <w:lang w:val="en-US" w:eastAsia="zh-CN" w:bidi="ar-SA"/>
              </w:rPr>
              <w:t>.</w:t>
            </w:r>
            <w:r>
              <w:rPr>
                <w:rFonts w:hint="eastAsia" w:ascii="仿宋_GB2312" w:hAnsi="仿宋_GB2312" w:eastAsia="仿宋_GB2312" w:cs="仿宋_GB2312"/>
                <w:bCs/>
                <w:color w:val="auto"/>
                <w:spacing w:val="0"/>
                <w:kern w:val="2"/>
                <w:sz w:val="21"/>
                <w:szCs w:val="21"/>
                <w:vertAlign w:val="baseline"/>
                <w:lang w:val="en-US" w:eastAsia="zh-CN" w:bidi="ar-SA"/>
              </w:rPr>
              <w:t>政府政策</w:t>
            </w:r>
            <w:r>
              <w:rPr>
                <w:rFonts w:hint="eastAsia" w:ascii="仿宋_GB2312" w:hAnsi="仿宋_GB2312" w:cs="仿宋_GB2312"/>
                <w:bCs/>
                <w:color w:val="auto"/>
                <w:spacing w:val="0"/>
                <w:kern w:val="2"/>
                <w:sz w:val="21"/>
                <w:szCs w:val="21"/>
                <w:vertAlign w:val="baseline"/>
                <w:lang w:val="en-US" w:eastAsia="zh-CN" w:bidi="ar-SA"/>
              </w:rPr>
              <w:t>扶持</w:t>
            </w:r>
            <w:r>
              <w:rPr>
                <w:rFonts w:hint="eastAsia" w:ascii="仿宋_GB2312" w:hAnsi="仿宋_GB2312" w:eastAsia="仿宋_GB2312" w:cs="仿宋_GB2312"/>
                <w:bCs/>
                <w:color w:val="auto"/>
                <w:spacing w:val="0"/>
                <w:kern w:val="2"/>
                <w:sz w:val="21"/>
                <w:szCs w:val="21"/>
                <w:vertAlign w:val="baseline"/>
                <w:lang w:val="en-US" w:eastAsia="zh-CN" w:bidi="ar-SA"/>
              </w:rPr>
              <w:t>的中小企业</w:t>
            </w:r>
            <w:r>
              <w:rPr>
                <w:rFonts w:hint="eastAsia" w:ascii="仿宋_GB2312" w:hAnsi="仿宋_GB2312" w:cs="仿宋_GB2312"/>
                <w:bCs/>
                <w:color w:val="auto"/>
                <w:spacing w:val="0"/>
                <w:kern w:val="2"/>
                <w:sz w:val="21"/>
                <w:szCs w:val="21"/>
                <w:vertAlign w:val="baseline"/>
                <w:lang w:val="en-US" w:eastAsia="zh-CN" w:bidi="ar-SA"/>
              </w:rPr>
              <w:t>。</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pacing w:val="0"/>
                <w:kern w:val="2"/>
                <w:sz w:val="21"/>
                <w:szCs w:val="21"/>
                <w:vertAlign w:val="baseline"/>
                <w:lang w:val="en-US" w:eastAsia="zh-CN" w:bidi="ar-SA"/>
              </w:rPr>
            </w:pPr>
            <w:r>
              <w:rPr>
                <w:rFonts w:hint="eastAsia" w:ascii="仿宋_GB2312" w:hAnsi="仿宋_GB2312" w:eastAsia="仿宋_GB2312" w:cs="仿宋_GB2312"/>
                <w:bCs/>
                <w:color w:val="auto"/>
                <w:spacing w:val="0"/>
                <w:kern w:val="2"/>
                <w:sz w:val="21"/>
                <w:szCs w:val="21"/>
                <w:vertAlign w:val="baseline"/>
                <w:lang w:val="en-US" w:eastAsia="zh-CN" w:bidi="ar-SA"/>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vertAlign w:val="baseline"/>
                <w:lang w:val="en-US" w:eastAsia="zh-CN" w:bidi="ar-SA"/>
              </w:rPr>
            </w:pPr>
            <w:r>
              <w:rPr>
                <w:rFonts w:hint="eastAsia" w:ascii="仿宋_GB2312" w:hAnsi="仿宋_GB2312" w:eastAsia="仿宋_GB2312" w:cs="仿宋_GB2312"/>
                <w:bCs/>
                <w:color w:val="auto"/>
                <w:spacing w:val="0"/>
                <w:kern w:val="2"/>
                <w:sz w:val="21"/>
                <w:szCs w:val="21"/>
                <w:vertAlign w:val="baseline"/>
                <w:lang w:val="en-US" w:eastAsia="zh-CN" w:bidi="ar-SA"/>
              </w:rPr>
              <w:t>中国人民财产保险股份有限公司宝鸡市分公司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pacing w:val="0"/>
                <w:kern w:val="2"/>
                <w:sz w:val="21"/>
                <w:szCs w:val="21"/>
                <w:vertAlign w:val="baseline"/>
                <w:lang w:val="en-US" w:eastAsia="zh-CN" w:bidi="ar-SA"/>
              </w:rPr>
            </w:pPr>
            <w:r>
              <w:rPr>
                <w:rFonts w:hint="eastAsia" w:ascii="仿宋_GB2312" w:hAnsi="仿宋_GB2312" w:cs="仿宋_GB2312"/>
                <w:bCs/>
                <w:color w:val="auto"/>
                <w:spacing w:val="0"/>
                <w:kern w:val="2"/>
                <w:sz w:val="21"/>
                <w:szCs w:val="21"/>
                <w:vertAlign w:val="baseline"/>
                <w:lang w:val="en-US" w:eastAsia="zh-CN" w:bidi="ar-SA"/>
              </w:rPr>
              <w:t>26</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科企E贷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为具有一定有效发明专利等知识产权的科技型小微企业客户打造的一款线上个人经营贷款。</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贷款金额最高可达300万元，方式信用，额度可循环使用，贷款期限最长12个月，还款方式灵活，可随借随还，按月付息到期一次性还本。</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科技创新型中小微企业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借款人为小微企业法定代表人且同时为企业主要股东；企业注册满一年，连续一年足额纳税；企业具备一定有效发明专利、实用新型专利、外观设计专利、商标及软件著作权，且为经国家、省市科技部门、工信部门认定的“科技型中小企业、高新技术企业、专精特新中小企业以及国家级专精特新小巨人企业”信用状况良好，无重大不良信用记录；银行要求的其他相关准入条件等。</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西安银行宝鸡分行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kern w:val="2"/>
                <w:sz w:val="21"/>
                <w:szCs w:val="21"/>
                <w:vertAlign w:val="baseline"/>
                <w:lang w:val="en-US" w:eastAsia="zh-CN" w:bidi="ar-SA"/>
              </w:rPr>
            </w:pPr>
            <w:r>
              <w:rPr>
                <w:rFonts w:hint="eastAsia" w:ascii="仿宋_GB2312" w:hAnsi="仿宋_GB2312" w:cs="仿宋_GB2312"/>
                <w:bCs/>
                <w:color w:val="auto"/>
                <w:spacing w:val="0"/>
                <w:kern w:val="2"/>
                <w:sz w:val="21"/>
                <w:szCs w:val="21"/>
                <w:vertAlign w:val="baseline"/>
                <w:lang w:val="en-US" w:eastAsia="zh-CN" w:bidi="ar-SA"/>
              </w:rPr>
              <w:t>27</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房抵贷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抵押类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房抵贷是银行为小微企业主及个体工商户打造的一款基于房产抵押的个人经营性贷款。</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贷款金额最高可达500万元，可采用借款人或第三方名下的住宅房产做抵押，贷款期限分为12、24、36个月、还款方式为按月结息，到期一次性还本或分期还本。</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小微企业主及个体工商户</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借款人为小微企业法定代表人且同时为企业股东或个体工商户负责人；企业注册地在陕西省内且经营正常，注册时间在6个月（不含）以上；从事的生产经营活动符合国家法律法规及产业政策；信用状况良好，无重大不良信用记录；我行要求的其他相关准入条件等。</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西安银行宝鸡分行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28</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科技快速贷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政府和新三板模式下：不超过上年营收的10%；不超过所得税和增值税合计额的8倍。投贷联动模式下：不超过3年内股权投资总额的30%或2年内股权投资总额的50%（取两者较高者）。最长不超过一年。信用担保，企业法定代表人或实际控制人及其配偶提供个人无限连带责任保证担保。累积实现利润及资本项下现金流入。到期一次性还本付息或分期还款。</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适合专精特新优质企业</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1.政府扶持企业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2.浦发银行合作基金投资企业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3.新三板挂牌或拟挂牌企业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一、政府扶持模式：1.高新技术企业，经省、市地方政府及主管部门认定的企业，具备国防科工企业资质证书的企业。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二、投贷联动模式：投资企业的为与浦发银行合作基金公司，且基金对企业已实现实际出资。最近一年盈利，且销售收入超过5000万元；或最近两年连续盈利，且上年度净利润超过100万元。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三、新三板模式：1.企业上年度销售收入超过5000万元，且净利润不低于300万元。2.主营业务收入占销售收入70%以上。3.销售收入连续两年增长，且上年度销售收入增长率≥15%，或上年度净利润增长率≥10%。经营性现金流能够覆盖企业贷款本息。</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0"/>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浦发银行宝鸡分行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29</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科技含权贷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抵押类</w:t>
            </w:r>
          </w:p>
        </w:tc>
        <w:tc>
          <w:tcPr>
            <w:tcW w:w="1950"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贷款金额最高2000万元，额度测算：贷款金额≤认股选择权份额×企业当前股权价值×2，最长不超过3年，需股权质押。万户工程入库企业：一期企业，最高贷款500万元；二期企业最高贷款1000万元；三期企业，最高贷款3000万元。还款方式：1、一般科创企业，贷款期限1年（含）以上的，1年内只还利息不还本，1年后采取分期还款或一次性还本、利随本清。贷款期限1年（不含）以内的，按月、季偿还贷款利息，到期一次性偿还本金。2.万户工程入库企业：按月、季偿还贷款利息，到期一次性偿还本金。</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适合专精特新优质企业</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已与浦发银行推荐的基金签署认股选择权协议的科创企业</w:t>
            </w:r>
          </w:p>
        </w:tc>
        <w:tc>
          <w:tcPr>
            <w:tcW w:w="27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cs="仿宋_GB2312"/>
                <w:bCs/>
                <w:color w:val="auto"/>
                <w:spacing w:val="0"/>
                <w:kern w:val="2"/>
                <w:sz w:val="21"/>
                <w:szCs w:val="21"/>
                <w:shd w:val="clear" w:color="auto" w:fill="auto"/>
                <w:vertAlign w:val="baseline"/>
                <w:lang w:val="en-US" w:eastAsia="zh-CN" w:bidi="ar-SA"/>
              </w:rPr>
              <w:t>1.</w:t>
            </w: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已同意与浦发银行选定的基金签署《认股选择权协议》。</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2.成长速度较快：</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主营业务收入（万元人民币）</w:t>
                  </w:r>
                </w:p>
              </w:tc>
              <w:tc>
                <w:tcPr>
                  <w:tcW w:w="12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近两年主营业务收入平均增长率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≥2,000</w:t>
                  </w:r>
                </w:p>
              </w:tc>
              <w:tc>
                <w:tcPr>
                  <w:tcW w:w="12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≥5,000</w:t>
                  </w:r>
                </w:p>
              </w:tc>
              <w:tc>
                <w:tcPr>
                  <w:tcW w:w="12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≥10,000</w:t>
                  </w:r>
                </w:p>
              </w:tc>
              <w:tc>
                <w:tcPr>
                  <w:tcW w:w="12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cs="仿宋_GB2312"/>
                <w:bCs/>
                <w:color w:val="auto"/>
                <w:spacing w:val="0"/>
                <w:kern w:val="2"/>
                <w:sz w:val="21"/>
                <w:szCs w:val="21"/>
                <w:shd w:val="clear" w:color="auto" w:fill="auto"/>
                <w:vertAlign w:val="baseline"/>
                <w:lang w:val="en-US" w:eastAsia="zh-CN" w:bidi="ar-SA"/>
              </w:rPr>
              <w:t>3</w:t>
            </w: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.成长潜力较大：所处行业属于政府鼓励的战略新兴行业。</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0"/>
                <w:sz w:val="21"/>
                <w:szCs w:val="21"/>
                <w:vertAlign w:val="baseline"/>
                <w:lang w:val="en-US" w:eastAsia="zh-CN"/>
              </w:rPr>
              <w:t>浦发银行宝鸡分行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3"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30</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孵化贷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抵押类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最高500万元；不得超过企业及企业主家庭净资产之和。最高质押率按照企业信用资质、应收账款种类、订单项下产品获得的发明创造类知识产权核定。</w:t>
            </w:r>
            <w:r>
              <w:rPr>
                <w:rFonts w:hint="eastAsia" w:ascii="仿宋_GB2312" w:hAnsi="仿宋_GB2312" w:eastAsia="仿宋_GB2312" w:cs="仿宋_GB2312"/>
                <w:sz w:val="21"/>
                <w:szCs w:val="21"/>
              </w:rPr>
              <w:t>贷款期限：</w:t>
            </w: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最长不超过1年。担保方式：订单项下应收账款质押</w:t>
            </w:r>
            <w:r>
              <w:rPr>
                <w:rFonts w:hint="eastAsia" w:ascii="仿宋_GB2312" w:hAnsi="仿宋_GB2312" w:cs="仿宋_GB2312"/>
                <w:bCs/>
                <w:color w:val="auto"/>
                <w:spacing w:val="0"/>
                <w:kern w:val="2"/>
                <w:sz w:val="21"/>
                <w:szCs w:val="21"/>
                <w:shd w:val="clear" w:color="auto" w:fill="auto"/>
                <w:vertAlign w:val="baseline"/>
                <w:lang w:val="en-US" w:eastAsia="zh-CN" w:bidi="ar-SA"/>
              </w:rPr>
              <w:t>。</w:t>
            </w: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还款资金来源：应收账款收入</w:t>
            </w:r>
            <w:r>
              <w:rPr>
                <w:rFonts w:hint="eastAsia" w:ascii="仿宋_GB2312" w:hAnsi="仿宋_GB2312" w:cs="仿宋_GB2312"/>
                <w:bCs/>
                <w:color w:val="auto"/>
                <w:spacing w:val="0"/>
                <w:kern w:val="2"/>
                <w:sz w:val="21"/>
                <w:szCs w:val="21"/>
                <w:shd w:val="clear" w:color="auto" w:fill="auto"/>
                <w:vertAlign w:val="baseline"/>
                <w:lang w:val="en-US" w:eastAsia="zh-CN" w:bidi="ar-SA"/>
              </w:rPr>
              <w:t>。</w:t>
            </w:r>
            <w:r>
              <w:rPr>
                <w:rFonts w:hint="eastAsia" w:ascii="仿宋_GB2312" w:hAnsi="仿宋_GB2312" w:eastAsia="仿宋_GB2312" w:cs="仿宋_GB2312"/>
                <w:sz w:val="21"/>
                <w:szCs w:val="21"/>
              </w:rPr>
              <w:t>还款方式：贷款期限6个月（含）以内的，分期还款或到期一次性还本。</w:t>
            </w: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贷款期限超过6个月的，分期还款</w:t>
            </w:r>
            <w:r>
              <w:rPr>
                <w:rFonts w:hint="eastAsia" w:ascii="仿宋_GB2312" w:hAnsi="仿宋_GB2312" w:cs="仿宋_GB2312"/>
                <w:bCs/>
                <w:color w:val="auto"/>
                <w:spacing w:val="0"/>
                <w:kern w:val="2"/>
                <w:sz w:val="21"/>
                <w:szCs w:val="21"/>
                <w:shd w:val="clear" w:color="auto" w:fill="auto"/>
                <w:vertAlign w:val="baseline"/>
                <w:lang w:val="en-US" w:eastAsia="zh-CN" w:bidi="ar-SA"/>
              </w:rPr>
              <w:t>。</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适合专精特新优质企业</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万户工程入库企业中处于孵化期的科创小微客户</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一、信用等级：BB级（含）以上（万户工程一期入库要求）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二、其他条件：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cs="仿宋_GB2312"/>
                <w:bCs/>
                <w:color w:val="auto"/>
                <w:spacing w:val="0"/>
                <w:kern w:val="2"/>
                <w:sz w:val="21"/>
                <w:szCs w:val="21"/>
                <w:shd w:val="clear" w:color="auto" w:fill="auto"/>
                <w:vertAlign w:val="baseline"/>
                <w:lang w:val="en-US" w:eastAsia="zh-CN" w:bidi="ar-SA"/>
              </w:rPr>
              <w:t>1.</w:t>
            </w: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入库万户工程客户培育库；</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cs="仿宋_GB2312"/>
                <w:bCs/>
                <w:color w:val="auto"/>
                <w:spacing w:val="0"/>
                <w:kern w:val="2"/>
                <w:sz w:val="21"/>
                <w:szCs w:val="21"/>
                <w:shd w:val="clear" w:color="auto" w:fill="auto"/>
                <w:vertAlign w:val="baseline"/>
                <w:lang w:val="en-US" w:eastAsia="zh-CN" w:bidi="ar-SA"/>
              </w:rPr>
              <w:t>2.</w:t>
            </w: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技术水平获得相关部门认可，具有专业化、批量化的生产能力，所生产产品与同类产品相比市场竞争力较强；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cs="仿宋_GB2312"/>
                <w:bCs/>
                <w:color w:val="auto"/>
                <w:spacing w:val="0"/>
                <w:kern w:val="2"/>
                <w:sz w:val="21"/>
                <w:szCs w:val="21"/>
                <w:shd w:val="clear" w:color="auto" w:fill="auto"/>
                <w:vertAlign w:val="baseline"/>
                <w:lang w:val="en-US" w:eastAsia="zh-CN" w:bidi="ar-SA"/>
              </w:rPr>
              <w:t>3.</w:t>
            </w: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借款人已与买方签立有效订单，并与买方之间不存在直接或间接投资、参股等关联关系。</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cs="仿宋_GB2312"/>
                <w:bCs/>
                <w:color w:val="auto"/>
                <w:spacing w:val="0"/>
                <w:kern w:val="2"/>
                <w:sz w:val="21"/>
                <w:szCs w:val="21"/>
                <w:shd w:val="clear" w:color="auto" w:fill="auto"/>
                <w:vertAlign w:val="baseline"/>
                <w:lang w:val="en-US" w:eastAsia="zh-CN" w:bidi="ar-SA"/>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浦发银行宝鸡分行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31</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浦投贷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pacing w:val="0"/>
                <w:kern w:val="2"/>
                <w:sz w:val="21"/>
                <w:szCs w:val="21"/>
                <w:shd w:val="clear" w:color="auto" w:fill="auto"/>
                <w:vertAlign w:val="baseline"/>
                <w:lang w:val="en-US" w:eastAsia="zh-CN" w:bidi="ar-SA"/>
              </w:rPr>
            </w:pPr>
          </w:p>
        </w:tc>
        <w:tc>
          <w:tcPr>
            <w:tcW w:w="1950" w:type="dxa"/>
            <w:vAlign w:val="center"/>
          </w:tcPr>
          <w:p>
            <w:pPr>
              <w:pStyle w:val="5"/>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单户贷款额度不得超过近三年企业最新轮融资所获得的总投资金额的30%，且额度上限不得超过1000万元。业务期限单笔授信额度有效期1年，贷款期限最长不超过3年（含）。</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适合科技型企业</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我行通过与优质股权基金管理机构紧密合作从而向基金管理公司所投资的科创企业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1.清科等投资榜单排名前100的投资机构；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2.上年末市值达到50亿元以上的境内外上市公司所设立的产业基金；</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3.上年度证监会评级为A及以上的私募股权投资机构。</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cs="仿宋_GB2312"/>
                <w:bCs/>
                <w:color w:val="auto"/>
                <w:spacing w:val="0"/>
                <w:kern w:val="2"/>
                <w:sz w:val="21"/>
                <w:szCs w:val="21"/>
                <w:shd w:val="clear" w:color="auto" w:fill="auto"/>
                <w:vertAlign w:val="baseline"/>
                <w:lang w:val="en-US" w:eastAsia="zh-CN" w:bidi="ar-SA"/>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浦发银行宝鸡分行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cs="仿宋_GB2312"/>
                <w:bCs/>
                <w:color w:val="auto"/>
                <w:spacing w:val="-6"/>
                <w:sz w:val="21"/>
                <w:szCs w:val="21"/>
                <w:vertAlign w:val="baseline"/>
                <w:lang w:val="en-US" w:eastAsia="zh-CN"/>
              </w:rPr>
            </w:pPr>
            <w:r>
              <w:rPr>
                <w:rFonts w:hint="eastAsia" w:ascii="仿宋_GB2312" w:hAnsi="仿宋_GB2312" w:cs="仿宋_GB2312"/>
                <w:bCs/>
                <w:color w:val="auto"/>
                <w:spacing w:val="-6"/>
                <w:sz w:val="21"/>
                <w:szCs w:val="21"/>
                <w:vertAlign w:val="baseline"/>
                <w:lang w:val="en-US" w:eastAsia="zh-CN"/>
              </w:rPr>
              <w:t>32</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浦链通</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信用类</w:t>
            </w:r>
          </w:p>
        </w:tc>
        <w:tc>
          <w:tcPr>
            <w:tcW w:w="1950" w:type="dxa"/>
            <w:vAlign w:val="center"/>
          </w:tcPr>
          <w:p>
            <w:pPr>
              <w:pStyle w:val="5"/>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sz w:val="21"/>
                <w:szCs w:val="21"/>
              </w:rPr>
              <w:t>占用核心企业授信额度，无具体要求，不超过核心企业额度即可，单笔融资额度最高不得超过应收账款的95%；特殊情况下最高不得超过应收账款的100%。</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kern w:val="2"/>
                <w:sz w:val="21"/>
                <w:szCs w:val="21"/>
                <w:lang w:val="en-US" w:eastAsia="zh-CN" w:bidi="ar-SA"/>
              </w:rPr>
              <w:t>适合科技型企业</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kern w:val="2"/>
                <w:sz w:val="21"/>
                <w:szCs w:val="21"/>
                <w:lang w:val="en-US" w:eastAsia="zh-CN" w:bidi="ar-SA"/>
              </w:rPr>
              <w:t>核心企业及第三方供应链金融平台合作，基于核心企业对其应付账款无条件付款的确认或承诺下，我行为相关供应商提供在线保理融资相关客户</w:t>
            </w:r>
          </w:p>
        </w:tc>
        <w:tc>
          <w:tcPr>
            <w:tcW w:w="2797" w:type="dxa"/>
            <w:vAlign w:val="center"/>
          </w:tcPr>
          <w:p>
            <w:pPr>
              <w:pStyle w:val="5"/>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kern w:val="2"/>
                <w:sz w:val="21"/>
                <w:szCs w:val="21"/>
                <w:lang w:val="en-US" w:eastAsia="zh-CN" w:bidi="ar-SA"/>
              </w:rPr>
              <w:t>1.一级供应商需经核心企业推荐；2.经工商行政管理部门核准登记，且如期进行企业年度报告公示；3.企事业单位有必要的组织机构、经营管理制度和财务管理制度，企业信息透明度高；4.企业有固定经营场所，经营稳定，依法纳税；5.具有较好的商业信誉，原则上近两年内无不良信用记录；6.在我行开立结算账户。</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cs="仿宋_GB2312"/>
                <w:bCs/>
                <w:color w:val="auto"/>
                <w:spacing w:val="0"/>
                <w:kern w:val="2"/>
                <w:sz w:val="21"/>
                <w:szCs w:val="21"/>
                <w:shd w:val="clear" w:color="auto" w:fill="auto"/>
                <w:vertAlign w:val="baseline"/>
                <w:lang w:val="en-US" w:eastAsia="zh-CN" w:bidi="ar-SA"/>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pPr>
            <w:r>
              <w:rPr>
                <w:rFonts w:hint="eastAsia" w:ascii="仿宋_GB2312" w:hAnsi="仿宋_GB2312" w:eastAsia="仿宋_GB2312" w:cs="仿宋_GB2312"/>
                <w:bCs/>
                <w:color w:val="auto"/>
                <w:spacing w:val="0"/>
                <w:kern w:val="2"/>
                <w:sz w:val="21"/>
                <w:szCs w:val="21"/>
                <w:shd w:val="clear" w:color="auto" w:fill="auto"/>
                <w:vertAlign w:val="baseline"/>
                <w:lang w:val="en-US" w:eastAsia="zh-CN" w:bidi="ar-SA"/>
              </w:rPr>
              <w:t>浦发银行宝鸡分行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kern w:val="2"/>
                <w:sz w:val="21"/>
                <w:szCs w:val="21"/>
                <w:lang w:val="en-US" w:eastAsia="zh-CN" w:bidi="ar-SA"/>
              </w:rPr>
            </w:pPr>
            <w:r>
              <w:rPr>
                <w:rFonts w:hint="eastAsia" w:ascii="仿宋_GB2312" w:hAnsi="仿宋_GB2312" w:cs="仿宋_GB2312"/>
                <w:bCs/>
                <w:kern w:val="2"/>
                <w:sz w:val="21"/>
                <w:szCs w:val="21"/>
                <w:lang w:val="en-US" w:eastAsia="zh-CN" w:bidi="ar-SA"/>
              </w:rPr>
              <w:t>33</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科技上市贷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kern w:val="2"/>
                <w:sz w:val="21"/>
                <w:szCs w:val="21"/>
                <w:lang w:val="en-US" w:eastAsia="zh-CN" w:bidi="ar-SA"/>
              </w:rPr>
            </w:pPr>
            <w:r>
              <w:rPr>
                <w:rFonts w:hint="eastAsia" w:ascii="仿宋_GB2312" w:hAnsi="仿宋_GB2312" w:cs="仿宋_GB2312"/>
                <w:bCs/>
                <w:kern w:val="2"/>
                <w:sz w:val="21"/>
                <w:szCs w:val="21"/>
                <w:lang w:val="en-US" w:eastAsia="zh-CN" w:bidi="ar-SA"/>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cs="仿宋_GB2312"/>
                <w:bCs/>
                <w:kern w:val="2"/>
                <w:sz w:val="21"/>
                <w:szCs w:val="21"/>
                <w:lang w:val="en-US" w:eastAsia="zh-CN" w:bidi="ar-SA"/>
              </w:rPr>
            </w:pPr>
            <w:r>
              <w:rPr>
                <w:rFonts w:hint="eastAsia" w:ascii="仿宋_GB2312" w:hAnsi="仿宋_GB2312" w:cs="仿宋_GB2312"/>
                <w:bCs/>
                <w:kern w:val="2"/>
                <w:sz w:val="21"/>
                <w:szCs w:val="21"/>
                <w:lang w:val="en-US" w:eastAsia="zh-CN" w:bidi="ar-SA"/>
              </w:rPr>
              <w:t>最高8000万元，不超过3年，信用，企业法定代表人或实际控制人及其配偶提供个人无限连带责任保证担保，仅限于企业日常生产经营周转。需根据企业经营模式及运营资金周转情况合理确定还款计划。</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适合专精特新优质企业</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Style w:val="16"/>
                <w:rFonts w:hint="eastAsia" w:hAnsi="仿宋_GB2312"/>
                <w:sz w:val="21"/>
                <w:szCs w:val="21"/>
              </w:rPr>
              <w:t>处于主板、科创板、创业板上市准备阶段或上市培育期的科创企业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cs="仿宋_GB2312"/>
                <w:bCs/>
                <w:kern w:val="2"/>
                <w:sz w:val="21"/>
                <w:szCs w:val="21"/>
                <w:lang w:val="en-US" w:eastAsia="zh-CN" w:bidi="ar-SA"/>
              </w:rPr>
              <w:t>1.</w:t>
            </w:r>
            <w:r>
              <w:rPr>
                <w:rFonts w:hint="eastAsia" w:ascii="仿宋_GB2312" w:hAnsi="仿宋_GB2312" w:eastAsia="仿宋_GB2312" w:cs="仿宋_GB2312"/>
                <w:bCs/>
                <w:kern w:val="2"/>
                <w:sz w:val="21"/>
                <w:szCs w:val="21"/>
                <w:lang w:val="en-US" w:eastAsia="zh-CN" w:bidi="ar-SA"/>
              </w:rPr>
              <w:t>已签署上市辅导协议的企业，并提供与券商签署的《上市辅导协议》作为佐证材料；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cs="仿宋_GB2312"/>
                <w:bCs/>
                <w:kern w:val="2"/>
                <w:sz w:val="21"/>
                <w:szCs w:val="21"/>
                <w:lang w:val="en-US" w:eastAsia="zh-CN" w:bidi="ar-SA"/>
              </w:rPr>
              <w:t>2.</w:t>
            </w:r>
            <w:r>
              <w:rPr>
                <w:rFonts w:hint="eastAsia" w:ascii="仿宋_GB2312" w:hAnsi="仿宋_GB2312" w:eastAsia="仿宋_GB2312" w:cs="仿宋_GB2312"/>
                <w:bCs/>
                <w:kern w:val="2"/>
                <w:sz w:val="21"/>
                <w:szCs w:val="21"/>
                <w:lang w:val="en-US" w:eastAsia="zh-CN" w:bidi="ar-SA"/>
              </w:rPr>
              <w:t>已达到上市市值及财务指标标准并完成股改的企业。上市标准以证券交易所官网最新公布的上市规则为准，并提供完成股改审计报告、评估报告等证明材料；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cs="仿宋_GB2312"/>
                <w:bCs/>
                <w:kern w:val="2"/>
                <w:sz w:val="21"/>
                <w:szCs w:val="21"/>
                <w:lang w:val="en-US" w:eastAsia="zh-CN" w:bidi="ar-SA"/>
              </w:rPr>
              <w:t>3.</w:t>
            </w:r>
            <w:r>
              <w:rPr>
                <w:rFonts w:hint="eastAsia" w:ascii="仿宋_GB2312" w:hAnsi="仿宋_GB2312" w:eastAsia="仿宋_GB2312" w:cs="仿宋_GB2312"/>
                <w:bCs/>
                <w:kern w:val="2"/>
                <w:sz w:val="21"/>
                <w:szCs w:val="21"/>
                <w:lang w:val="en-US" w:eastAsia="zh-CN" w:bidi="ar-SA"/>
              </w:rPr>
              <w:t xml:space="preserve">我行万户工程三期入库企业，并且须为新三板创新层、精选层挂牌企业或是已经取得券商、会计师、律师事务所等中介机构的上市前尽职调查报告等证明材料。客群准入须满足以上三条要求中任意一项。 </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浦发银行宝鸡分行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34</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浦创贷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企业最高500万元，企业主最高100万元，两者孰高原则。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单笔贷款期限不超过1年。</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适合科技型企业</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Style w:val="16"/>
                <w:rFonts w:hint="eastAsia" w:hAnsi="仿宋_GB2312"/>
                <w:sz w:val="21"/>
                <w:szCs w:val="21"/>
              </w:rPr>
            </w:pPr>
            <w:r>
              <w:rPr>
                <w:rFonts w:hint="eastAsia" w:ascii="仿宋_GB2312" w:hAnsi="仿宋_GB2312" w:eastAsia="仿宋_GB2312" w:cs="仿宋_GB2312"/>
                <w:bCs/>
                <w:kern w:val="2"/>
                <w:sz w:val="21"/>
                <w:szCs w:val="21"/>
                <w:lang w:val="en-US" w:eastAsia="zh-CN" w:bidi="ar-SA"/>
              </w:rPr>
              <w:t>高新技术企业、科技型中小企业、创新型中小企业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面向种子期、初创期、孵化期的科创小微企业，依据企业的经营纳税、金融资产等，以及企业主的收入及资产等多维数据综合评价，我行系统自动审批通过的企业。</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浦发银行宝鸡分行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kern w:val="2"/>
                <w:sz w:val="21"/>
                <w:szCs w:val="21"/>
                <w:lang w:val="en-US" w:eastAsia="zh-CN" w:bidi="ar-SA"/>
              </w:rPr>
            </w:pPr>
            <w:r>
              <w:rPr>
                <w:rFonts w:hint="eastAsia" w:ascii="仿宋_GB2312" w:hAnsi="仿宋_GB2312" w:cs="仿宋_GB2312"/>
                <w:bCs/>
                <w:color w:val="auto"/>
                <w:spacing w:val="-6"/>
                <w:sz w:val="21"/>
                <w:szCs w:val="21"/>
                <w:vertAlign w:val="baseline"/>
                <w:lang w:val="en-US" w:eastAsia="zh-CN"/>
              </w:rPr>
              <w:t>35</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浦新贷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信用类</w:t>
            </w:r>
          </w:p>
        </w:tc>
        <w:tc>
          <w:tcPr>
            <w:tcW w:w="1950" w:type="dxa"/>
            <w:vAlign w:val="center"/>
          </w:tcPr>
          <w:p>
            <w:pPr>
              <w:pStyle w:val="5"/>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sz w:val="21"/>
                <w:szCs w:val="21"/>
              </w:rPr>
              <w:t>线上审批模式额度最高1000万元，线下审批模式额度最高3000万元。期限不超过1年</w:t>
            </w:r>
            <w:r>
              <w:rPr>
                <w:rFonts w:hint="eastAsia" w:ascii="仿宋_GB2312" w:hAnsi="仿宋_GB2312" w:cs="仿宋_GB2312"/>
                <w:sz w:val="21"/>
                <w:szCs w:val="21"/>
                <w:lang w:eastAsia="zh-CN"/>
              </w:rPr>
              <w:t>。</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适合科技型企业</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政府科创资质的中小微企业</w:t>
            </w:r>
          </w:p>
        </w:tc>
        <w:tc>
          <w:tcPr>
            <w:tcW w:w="2797" w:type="dxa"/>
            <w:vAlign w:val="center"/>
          </w:tcPr>
          <w:p>
            <w:pPr>
              <w:pStyle w:val="5"/>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国家级专精特新小巨人企业、省级专精特新中小企业、高新技术企业、科技型中小企业、创新型中小企业</w:t>
            </w:r>
            <w:r>
              <w:rPr>
                <w:rFonts w:hint="eastAsia" w:ascii="仿宋_GB2312" w:hAnsi="仿宋_GB2312" w:cs="仿宋_GB2312"/>
                <w:bCs/>
                <w:kern w:val="2"/>
                <w:sz w:val="21"/>
                <w:szCs w:val="21"/>
                <w:lang w:val="en-US" w:eastAsia="zh-CN" w:bidi="ar-SA"/>
              </w:rPr>
              <w:t>。</w:t>
            </w:r>
          </w:p>
        </w:tc>
        <w:tc>
          <w:tcPr>
            <w:tcW w:w="918" w:type="dxa"/>
            <w:vAlign w:val="center"/>
          </w:tcPr>
          <w:p>
            <w:pPr>
              <w:pStyle w:val="5"/>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是</w:t>
            </w:r>
          </w:p>
        </w:tc>
        <w:tc>
          <w:tcPr>
            <w:tcW w:w="1060" w:type="dxa"/>
            <w:vAlign w:val="center"/>
          </w:tcPr>
          <w:p>
            <w:pPr>
              <w:pStyle w:val="5"/>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浦发银行宝鸡分行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36</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投贷宝</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Cs/>
                <w:kern w:val="2"/>
                <w:sz w:val="21"/>
                <w:szCs w:val="21"/>
                <w:lang w:val="en-US" w:eastAsia="zh-CN" w:bidi="ar-SA"/>
              </w:rPr>
            </w:pPr>
            <w:r>
              <w:rPr>
                <w:rFonts w:hint="eastAsia" w:ascii="仿宋_GB2312" w:hAnsi="仿宋_GB2312" w:cs="仿宋_GB2312"/>
                <w:bCs/>
                <w:kern w:val="2"/>
                <w:sz w:val="21"/>
                <w:szCs w:val="21"/>
                <w:lang w:val="en-US" w:eastAsia="zh-CN" w:bidi="ar-SA"/>
              </w:rPr>
              <w:t>信用类</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贷款金额最高3000万元，额度测算：不超过上年或当年预期销售收入的10%；不超过第一轮或第二轮投资金额的30%，第二轮以上投资金额的50%。</w:t>
            </w:r>
            <w:r>
              <w:rPr>
                <w:rFonts w:hint="eastAsia" w:ascii="仿宋_GB2312" w:hAnsi="仿宋_GB2312" w:eastAsia="仿宋_GB2312" w:cs="仿宋_GB2312"/>
                <w:sz w:val="21"/>
                <w:szCs w:val="21"/>
              </w:rPr>
              <w:t>最长不超过1年</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担保方式：信用，企业法定代表人或实际控制人及其配偶提供个人无限连带责任保证担保</w:t>
            </w:r>
            <w:r>
              <w:rPr>
                <w:rFonts w:hint="eastAsia" w:ascii="仿宋_GB2312" w:hAnsi="仿宋_GB2312" w:cs="仿宋_GB2312"/>
                <w:sz w:val="21"/>
                <w:szCs w:val="21"/>
                <w:lang w:eastAsia="zh-CN"/>
              </w:rPr>
              <w:t>。</w:t>
            </w:r>
            <w:r>
              <w:rPr>
                <w:rFonts w:hint="eastAsia" w:ascii="仿宋_GB2312" w:hAnsi="仿宋_GB2312" w:eastAsia="仿宋_GB2312" w:cs="仿宋_GB2312"/>
                <w:sz w:val="21"/>
                <w:szCs w:val="21"/>
              </w:rPr>
              <w:t>还款方式：按月或季偿还贷款利息，到期偿还本金</w:t>
            </w:r>
            <w:r>
              <w:rPr>
                <w:rFonts w:hint="eastAsia" w:ascii="仿宋_GB2312" w:hAnsi="仿宋_GB2312" w:cs="仿宋_GB2312"/>
                <w:sz w:val="21"/>
                <w:szCs w:val="21"/>
                <w:lang w:eastAsia="zh-CN"/>
              </w:rPr>
              <w:t>。</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适合专精特新优质企业</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shd w:val="clear" w:color="auto" w:fill="auto"/>
                <w:lang w:val="en-US" w:eastAsia="zh-CN" w:bidi="ar-SA"/>
              </w:rPr>
              <w:t>万户工程入库，且由PE/VC等股权基金管理机构投资企业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shd w:val="clear" w:color="auto" w:fill="auto"/>
                <w:lang w:val="en-US" w:eastAsia="zh-CN" w:bidi="ar-SA"/>
              </w:rPr>
            </w:pPr>
            <w:r>
              <w:rPr>
                <w:rFonts w:hint="eastAsia" w:ascii="仿宋_GB2312" w:hAnsi="仿宋_GB2312" w:eastAsia="仿宋_GB2312" w:cs="仿宋_GB2312"/>
                <w:bCs/>
                <w:kern w:val="2"/>
                <w:sz w:val="21"/>
                <w:szCs w:val="21"/>
                <w:shd w:val="clear" w:color="auto" w:fill="auto"/>
                <w:lang w:val="en-US" w:eastAsia="zh-CN" w:bidi="ar-SA"/>
              </w:rPr>
              <w:t>1.PE/VC等股权基金管理机构投资入股时间在两年内或PE/VC下轮投资协议已经签署；2.PE/VC等股权基金管理机构与企业签署的投资协议中无对赌或回购条款；3.资产负债率原则上控制在50%以内，对于装备制造业、能源、医疗卫生、文化传媒等行业，资产负债率最高不超过60%；对于国家政策支持的战略新兴产业、教育、现代服务业、电信等行业，资产负债率最高不超过70%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浦发银行宝鸡分行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万户贷</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信用贷</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kern w:val="2"/>
                <w:sz w:val="21"/>
                <w:szCs w:val="21"/>
                <w:lang w:val="en-US" w:eastAsia="zh-CN" w:bidi="ar-SA"/>
              </w:rPr>
              <w:t>贷款金额：最高3000万元。额度测算：最高不超过上年或当年预期销售收入的10%，按照纳税金额核定，按照企业成长性核定</w:t>
            </w:r>
            <w:r>
              <w:rPr>
                <w:rFonts w:hint="eastAsia" w:ascii="仿宋_GB2312" w:hAnsi="仿宋_GB2312" w:cs="仿宋_GB2312"/>
                <w:bCs/>
                <w:kern w:val="2"/>
                <w:sz w:val="21"/>
                <w:szCs w:val="21"/>
                <w:lang w:val="en-US" w:eastAsia="zh-CN" w:bidi="ar-SA"/>
              </w:rPr>
              <w:t>。</w:t>
            </w:r>
            <w:r>
              <w:rPr>
                <w:rFonts w:hint="eastAsia" w:ascii="仿宋_GB2312" w:hAnsi="仿宋_GB2312" w:eastAsia="仿宋_GB2312" w:cs="仿宋_GB2312"/>
                <w:bCs/>
                <w:kern w:val="2"/>
                <w:sz w:val="21"/>
                <w:szCs w:val="21"/>
                <w:lang w:val="en-US" w:eastAsia="zh-CN" w:bidi="ar-SA"/>
              </w:rPr>
              <w:t>贷款期限：最长不超过1年</w:t>
            </w:r>
            <w:r>
              <w:rPr>
                <w:rFonts w:hint="eastAsia" w:ascii="仿宋_GB2312" w:hAnsi="仿宋_GB2312" w:cs="仿宋_GB2312"/>
                <w:bCs/>
                <w:kern w:val="2"/>
                <w:sz w:val="21"/>
                <w:szCs w:val="21"/>
                <w:lang w:val="en-US" w:eastAsia="zh-CN" w:bidi="ar-SA"/>
              </w:rPr>
              <w:t>。</w:t>
            </w:r>
            <w:r>
              <w:rPr>
                <w:rFonts w:hint="eastAsia" w:ascii="仿宋_GB2312" w:hAnsi="仿宋_GB2312" w:eastAsia="仿宋_GB2312" w:cs="仿宋_GB2312"/>
                <w:bCs/>
                <w:kern w:val="2"/>
                <w:sz w:val="21"/>
                <w:szCs w:val="21"/>
                <w:lang w:val="en-US" w:eastAsia="zh-CN" w:bidi="ar-SA"/>
              </w:rPr>
              <w:t>担保方式：信用，企业法定代表人或实际控制人及其配偶提供个人无限连带责任保证担保</w:t>
            </w:r>
            <w:r>
              <w:rPr>
                <w:rFonts w:hint="eastAsia" w:ascii="仿宋_GB2312" w:hAnsi="仿宋_GB2312" w:cs="仿宋_GB2312"/>
                <w:bCs/>
                <w:kern w:val="2"/>
                <w:sz w:val="21"/>
                <w:szCs w:val="21"/>
                <w:lang w:val="en-US" w:eastAsia="zh-CN" w:bidi="ar-SA"/>
              </w:rPr>
              <w:t>。</w:t>
            </w:r>
            <w:r>
              <w:rPr>
                <w:rFonts w:hint="eastAsia" w:ascii="仿宋_GB2312" w:hAnsi="仿宋_GB2312" w:eastAsia="仿宋_GB2312" w:cs="仿宋_GB2312"/>
                <w:bCs/>
                <w:kern w:val="2"/>
                <w:sz w:val="21"/>
                <w:szCs w:val="21"/>
                <w:lang w:val="en-US" w:eastAsia="zh-CN" w:bidi="ar-SA"/>
              </w:rPr>
              <w:t>还款方式：分期还款</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kern w:val="2"/>
                <w:sz w:val="21"/>
                <w:szCs w:val="21"/>
                <w:lang w:val="en-US" w:eastAsia="zh-CN" w:bidi="ar-SA"/>
              </w:rPr>
              <w:t>适合专精特新优质企业</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kern w:val="2"/>
                <w:sz w:val="21"/>
                <w:szCs w:val="21"/>
                <w:lang w:val="en-US" w:eastAsia="zh-CN" w:bidi="ar-SA"/>
              </w:rPr>
              <w:t>万户工程入库企业</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kern w:val="2"/>
                <w:sz w:val="21"/>
                <w:szCs w:val="21"/>
                <w:lang w:val="en-US" w:eastAsia="zh-CN" w:bidi="ar-SA"/>
              </w:rPr>
            </w:pPr>
            <w:r>
              <w:rPr>
                <w:rFonts w:hint="eastAsia" w:ascii="仿宋_GB2312" w:hAnsi="仿宋_GB2312" w:cs="仿宋_GB2312"/>
                <w:bCs/>
                <w:kern w:val="2"/>
                <w:sz w:val="21"/>
                <w:szCs w:val="21"/>
                <w:lang w:val="en-US" w:eastAsia="zh-CN" w:bidi="ar-SA"/>
              </w:rPr>
              <w:t>1</w:t>
            </w:r>
            <w:r>
              <w:rPr>
                <w:rFonts w:hint="eastAsia" w:ascii="仿宋_GB2312" w:hAnsi="仿宋_GB2312" w:eastAsia="仿宋_GB2312" w:cs="仿宋_GB2312"/>
                <w:bCs/>
                <w:kern w:val="2"/>
                <w:sz w:val="21"/>
                <w:szCs w:val="21"/>
                <w:lang w:val="en-US" w:eastAsia="zh-CN" w:bidi="ar-SA"/>
              </w:rPr>
              <w:t>.信用等级：BB级（含）以上（万户工程一期入库要求）</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kern w:val="2"/>
                <w:sz w:val="21"/>
                <w:szCs w:val="21"/>
                <w:lang w:val="en-US" w:eastAsia="zh-CN" w:bidi="ar-SA"/>
              </w:rPr>
              <w:t>2.其他条件：入库万户工程客户培育库</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kern w:val="2"/>
                <w:sz w:val="21"/>
                <w:szCs w:val="21"/>
                <w:lang w:val="en-US" w:eastAsia="zh-CN" w:bidi="ar-SA"/>
              </w:rPr>
              <w:t>是</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kern w:val="2"/>
                <w:sz w:val="21"/>
                <w:szCs w:val="21"/>
                <w:lang w:val="en-US" w:eastAsia="zh-CN" w:bidi="ar-SA"/>
              </w:rPr>
              <w:t>浦发银行宝鸡分行</w:t>
            </w:r>
          </w:p>
        </w:tc>
      </w:tr>
    </w:tbl>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cs="仿宋_GB2312"/>
          <w:bCs/>
          <w:color w:val="auto"/>
          <w:spacing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cs="仿宋_GB2312"/>
          <w:bCs/>
          <w:color w:val="auto"/>
          <w:spacing w:val="0"/>
          <w:sz w:val="21"/>
          <w:szCs w:val="21"/>
          <w:vertAlign w:val="baseline"/>
          <w:lang w:val="en-US" w:eastAsia="zh-CN"/>
        </w:rPr>
      </w:pPr>
    </w:p>
    <w:sectPr>
      <w:footerReference r:id="rId3" w:type="default"/>
      <w:footerReference r:id="rId4" w:type="even"/>
      <w:pgSz w:w="16840" w:h="11907" w:orient="landscape"/>
      <w:pgMar w:top="1588" w:right="2098" w:bottom="1474" w:left="1985" w:header="851" w:footer="1418" w:gutter="0"/>
      <w:pgNumType w:fmt="numberInDash"/>
      <w:cols w:space="720" w:num="1"/>
      <w:docGrid w:type="linesAndChars" w:linePitch="579" w:charSpace="-8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57"/>
  <w:drawingGridVerticalSpacing w:val="289"/>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NzMzYzkxNTM1Y2UzNmQ0MzExOWMxNWJhZWVhOGNmZDYifQ=="/>
  </w:docVars>
  <w:rsids>
    <w:rsidRoot w:val="00000000"/>
    <w:rsid w:val="0058523E"/>
    <w:rsid w:val="005C4D2E"/>
    <w:rsid w:val="005C6ADC"/>
    <w:rsid w:val="00F74A57"/>
    <w:rsid w:val="02C27213"/>
    <w:rsid w:val="032C4E8C"/>
    <w:rsid w:val="03E77005"/>
    <w:rsid w:val="04713086"/>
    <w:rsid w:val="04C74740"/>
    <w:rsid w:val="068C5C42"/>
    <w:rsid w:val="06B61655"/>
    <w:rsid w:val="06E94E42"/>
    <w:rsid w:val="07136337"/>
    <w:rsid w:val="07A803F1"/>
    <w:rsid w:val="07B731BA"/>
    <w:rsid w:val="085B3B1D"/>
    <w:rsid w:val="0870581B"/>
    <w:rsid w:val="088017D6"/>
    <w:rsid w:val="08A76D63"/>
    <w:rsid w:val="08A96637"/>
    <w:rsid w:val="09141F89"/>
    <w:rsid w:val="09B17C27"/>
    <w:rsid w:val="09F935EE"/>
    <w:rsid w:val="0A6F1513"/>
    <w:rsid w:val="0A8F7AAE"/>
    <w:rsid w:val="0AA41B5B"/>
    <w:rsid w:val="0B3643CE"/>
    <w:rsid w:val="0B3B3792"/>
    <w:rsid w:val="0B586D7C"/>
    <w:rsid w:val="0C6C454B"/>
    <w:rsid w:val="0C937D2A"/>
    <w:rsid w:val="0CAD246E"/>
    <w:rsid w:val="0CBF0B1F"/>
    <w:rsid w:val="0D511890"/>
    <w:rsid w:val="0D95362E"/>
    <w:rsid w:val="0E1409F6"/>
    <w:rsid w:val="0E625C06"/>
    <w:rsid w:val="0F4470B9"/>
    <w:rsid w:val="0FAC79C0"/>
    <w:rsid w:val="0FC71A98"/>
    <w:rsid w:val="10771710"/>
    <w:rsid w:val="11DE57CF"/>
    <w:rsid w:val="11EA2706"/>
    <w:rsid w:val="12F41FA9"/>
    <w:rsid w:val="12FE1C75"/>
    <w:rsid w:val="13451652"/>
    <w:rsid w:val="134F24D1"/>
    <w:rsid w:val="13541895"/>
    <w:rsid w:val="13620456"/>
    <w:rsid w:val="137D2B9A"/>
    <w:rsid w:val="138E124B"/>
    <w:rsid w:val="140818FC"/>
    <w:rsid w:val="142676D5"/>
    <w:rsid w:val="14656857"/>
    <w:rsid w:val="14A95C11"/>
    <w:rsid w:val="15C947BC"/>
    <w:rsid w:val="15D62A35"/>
    <w:rsid w:val="15E45152"/>
    <w:rsid w:val="168E3310"/>
    <w:rsid w:val="16A50D85"/>
    <w:rsid w:val="16F07B27"/>
    <w:rsid w:val="1720040C"/>
    <w:rsid w:val="17CA65CA"/>
    <w:rsid w:val="17FD699F"/>
    <w:rsid w:val="18A437F6"/>
    <w:rsid w:val="192341E3"/>
    <w:rsid w:val="19E219A9"/>
    <w:rsid w:val="1A10072D"/>
    <w:rsid w:val="1A50720A"/>
    <w:rsid w:val="1B0E4A1F"/>
    <w:rsid w:val="1B7F1479"/>
    <w:rsid w:val="1BB92BDD"/>
    <w:rsid w:val="1C7B60E4"/>
    <w:rsid w:val="1C907F72"/>
    <w:rsid w:val="1DAB47A7"/>
    <w:rsid w:val="1EAC6A29"/>
    <w:rsid w:val="1EC57AEB"/>
    <w:rsid w:val="1FBA5176"/>
    <w:rsid w:val="200C59D1"/>
    <w:rsid w:val="20270A5D"/>
    <w:rsid w:val="20801F1B"/>
    <w:rsid w:val="21DD7884"/>
    <w:rsid w:val="220A5F40"/>
    <w:rsid w:val="22877591"/>
    <w:rsid w:val="22AC349C"/>
    <w:rsid w:val="22F10EAE"/>
    <w:rsid w:val="238B65A9"/>
    <w:rsid w:val="244A2F6C"/>
    <w:rsid w:val="246F29D3"/>
    <w:rsid w:val="249C4E4A"/>
    <w:rsid w:val="24CE79A7"/>
    <w:rsid w:val="253357AE"/>
    <w:rsid w:val="25617E40"/>
    <w:rsid w:val="26C568DA"/>
    <w:rsid w:val="27160EE4"/>
    <w:rsid w:val="27873B8F"/>
    <w:rsid w:val="2790513A"/>
    <w:rsid w:val="27B801ED"/>
    <w:rsid w:val="27C546B8"/>
    <w:rsid w:val="28305FD5"/>
    <w:rsid w:val="2899001E"/>
    <w:rsid w:val="28A864B3"/>
    <w:rsid w:val="28B22E8E"/>
    <w:rsid w:val="28BE7A85"/>
    <w:rsid w:val="290B259E"/>
    <w:rsid w:val="292813A2"/>
    <w:rsid w:val="29932CBF"/>
    <w:rsid w:val="29F3223C"/>
    <w:rsid w:val="2A3E70CF"/>
    <w:rsid w:val="2A701253"/>
    <w:rsid w:val="2AA1765E"/>
    <w:rsid w:val="2AC94A76"/>
    <w:rsid w:val="2B5D17D7"/>
    <w:rsid w:val="2B8F5708"/>
    <w:rsid w:val="2BF043F9"/>
    <w:rsid w:val="2C4B5AD3"/>
    <w:rsid w:val="2C9D5C03"/>
    <w:rsid w:val="2CEA52EC"/>
    <w:rsid w:val="2D4744ED"/>
    <w:rsid w:val="2DBF0527"/>
    <w:rsid w:val="2E0979F4"/>
    <w:rsid w:val="2E5C5D76"/>
    <w:rsid w:val="2F4800A8"/>
    <w:rsid w:val="2FCC2A87"/>
    <w:rsid w:val="303348B4"/>
    <w:rsid w:val="30696528"/>
    <w:rsid w:val="30C45E54"/>
    <w:rsid w:val="30F5293C"/>
    <w:rsid w:val="3140197F"/>
    <w:rsid w:val="31B61C41"/>
    <w:rsid w:val="323B3EF4"/>
    <w:rsid w:val="323F0F5D"/>
    <w:rsid w:val="332226F4"/>
    <w:rsid w:val="33732D77"/>
    <w:rsid w:val="33A855B9"/>
    <w:rsid w:val="33E505BB"/>
    <w:rsid w:val="34675060"/>
    <w:rsid w:val="34BA1A48"/>
    <w:rsid w:val="350C7DCA"/>
    <w:rsid w:val="355D23D3"/>
    <w:rsid w:val="35EF74CF"/>
    <w:rsid w:val="363475D8"/>
    <w:rsid w:val="366F23BE"/>
    <w:rsid w:val="36BA5D2F"/>
    <w:rsid w:val="36FD3E6E"/>
    <w:rsid w:val="37296A11"/>
    <w:rsid w:val="3848736B"/>
    <w:rsid w:val="389E342F"/>
    <w:rsid w:val="38A65E3F"/>
    <w:rsid w:val="39167469"/>
    <w:rsid w:val="397C551E"/>
    <w:rsid w:val="39F72DF7"/>
    <w:rsid w:val="3BC60CD2"/>
    <w:rsid w:val="3C5462DE"/>
    <w:rsid w:val="3CB7061B"/>
    <w:rsid w:val="3CCD2577"/>
    <w:rsid w:val="3D141F11"/>
    <w:rsid w:val="3D163594"/>
    <w:rsid w:val="3D3954D4"/>
    <w:rsid w:val="3D685682"/>
    <w:rsid w:val="3D8E3A72"/>
    <w:rsid w:val="3E6354C4"/>
    <w:rsid w:val="3EB11379"/>
    <w:rsid w:val="3EFE69D5"/>
    <w:rsid w:val="40061FE5"/>
    <w:rsid w:val="40556B8C"/>
    <w:rsid w:val="40633C25"/>
    <w:rsid w:val="40665518"/>
    <w:rsid w:val="40672358"/>
    <w:rsid w:val="40FA6C68"/>
    <w:rsid w:val="4275177C"/>
    <w:rsid w:val="427F7E2D"/>
    <w:rsid w:val="42DA1C33"/>
    <w:rsid w:val="42E065E2"/>
    <w:rsid w:val="433A501B"/>
    <w:rsid w:val="439E0787"/>
    <w:rsid w:val="43CA157C"/>
    <w:rsid w:val="43FB34E3"/>
    <w:rsid w:val="44F96E60"/>
    <w:rsid w:val="456D124F"/>
    <w:rsid w:val="45E36925"/>
    <w:rsid w:val="45EC57D9"/>
    <w:rsid w:val="4618037D"/>
    <w:rsid w:val="46FC79CC"/>
    <w:rsid w:val="47343D50"/>
    <w:rsid w:val="49155047"/>
    <w:rsid w:val="492139EC"/>
    <w:rsid w:val="49282FCC"/>
    <w:rsid w:val="493A4AAE"/>
    <w:rsid w:val="498B5309"/>
    <w:rsid w:val="49E669E4"/>
    <w:rsid w:val="49F904C5"/>
    <w:rsid w:val="4AC24D5B"/>
    <w:rsid w:val="4BDD2EB5"/>
    <w:rsid w:val="4D241CFD"/>
    <w:rsid w:val="4D587BF8"/>
    <w:rsid w:val="4DE374C2"/>
    <w:rsid w:val="4E2D2E33"/>
    <w:rsid w:val="4E444A8C"/>
    <w:rsid w:val="4E685C19"/>
    <w:rsid w:val="4F4F2935"/>
    <w:rsid w:val="4FBA4253"/>
    <w:rsid w:val="501E2A33"/>
    <w:rsid w:val="50616DC4"/>
    <w:rsid w:val="50A15412"/>
    <w:rsid w:val="50BB2978"/>
    <w:rsid w:val="50F93FD8"/>
    <w:rsid w:val="51180A0A"/>
    <w:rsid w:val="5153495F"/>
    <w:rsid w:val="51DF2696"/>
    <w:rsid w:val="524952AC"/>
    <w:rsid w:val="531D5E38"/>
    <w:rsid w:val="54280325"/>
    <w:rsid w:val="545F186C"/>
    <w:rsid w:val="54D9517B"/>
    <w:rsid w:val="54E35FFA"/>
    <w:rsid w:val="54ED6E78"/>
    <w:rsid w:val="552A00CC"/>
    <w:rsid w:val="557D644E"/>
    <w:rsid w:val="55985036"/>
    <w:rsid w:val="56690780"/>
    <w:rsid w:val="56757125"/>
    <w:rsid w:val="568C17AB"/>
    <w:rsid w:val="56B22127"/>
    <w:rsid w:val="56D95906"/>
    <w:rsid w:val="5778511F"/>
    <w:rsid w:val="57BB500C"/>
    <w:rsid w:val="57E427B4"/>
    <w:rsid w:val="58AB32D2"/>
    <w:rsid w:val="59101F44"/>
    <w:rsid w:val="591075D9"/>
    <w:rsid w:val="599124C8"/>
    <w:rsid w:val="5A0C7DA1"/>
    <w:rsid w:val="5B4E6197"/>
    <w:rsid w:val="5C1A047B"/>
    <w:rsid w:val="5C270EC2"/>
    <w:rsid w:val="5D310D37"/>
    <w:rsid w:val="5D3E4715"/>
    <w:rsid w:val="5D4B5084"/>
    <w:rsid w:val="5DF778F1"/>
    <w:rsid w:val="5EC944B2"/>
    <w:rsid w:val="5F0F5743"/>
    <w:rsid w:val="601B6F8F"/>
    <w:rsid w:val="60EF1C84"/>
    <w:rsid w:val="612260FC"/>
    <w:rsid w:val="620B6B90"/>
    <w:rsid w:val="621912AD"/>
    <w:rsid w:val="62774225"/>
    <w:rsid w:val="62A863B3"/>
    <w:rsid w:val="639C3F43"/>
    <w:rsid w:val="648F316C"/>
    <w:rsid w:val="64AA4510"/>
    <w:rsid w:val="64E21E2A"/>
    <w:rsid w:val="64E262CE"/>
    <w:rsid w:val="6511270F"/>
    <w:rsid w:val="6554084E"/>
    <w:rsid w:val="656767D3"/>
    <w:rsid w:val="65DF45BB"/>
    <w:rsid w:val="664F1741"/>
    <w:rsid w:val="66E14363"/>
    <w:rsid w:val="67915CB0"/>
    <w:rsid w:val="683C5CB7"/>
    <w:rsid w:val="688B27D8"/>
    <w:rsid w:val="69286279"/>
    <w:rsid w:val="6A022F6E"/>
    <w:rsid w:val="6A294057"/>
    <w:rsid w:val="6AB04778"/>
    <w:rsid w:val="6ADE12E5"/>
    <w:rsid w:val="6AFC31EC"/>
    <w:rsid w:val="6B7457A6"/>
    <w:rsid w:val="6BF3491C"/>
    <w:rsid w:val="6C133210"/>
    <w:rsid w:val="6C4B6506"/>
    <w:rsid w:val="6C871509"/>
    <w:rsid w:val="6CA1081C"/>
    <w:rsid w:val="6CD81E3C"/>
    <w:rsid w:val="6CFA7F2C"/>
    <w:rsid w:val="6D463172"/>
    <w:rsid w:val="6D7D3037"/>
    <w:rsid w:val="6D9D5488"/>
    <w:rsid w:val="6DAA7799"/>
    <w:rsid w:val="6DDF784E"/>
    <w:rsid w:val="6DEC1F6B"/>
    <w:rsid w:val="6EBF31DC"/>
    <w:rsid w:val="701D465E"/>
    <w:rsid w:val="70DF1913"/>
    <w:rsid w:val="718B3849"/>
    <w:rsid w:val="71A212BE"/>
    <w:rsid w:val="71D7083C"/>
    <w:rsid w:val="71F413EE"/>
    <w:rsid w:val="7220354B"/>
    <w:rsid w:val="723C4468"/>
    <w:rsid w:val="72807EFF"/>
    <w:rsid w:val="7365608B"/>
    <w:rsid w:val="73A806E2"/>
    <w:rsid w:val="73FAE7BD"/>
    <w:rsid w:val="74D86DA5"/>
    <w:rsid w:val="75A44ED9"/>
    <w:rsid w:val="75F93477"/>
    <w:rsid w:val="760140DA"/>
    <w:rsid w:val="763444AF"/>
    <w:rsid w:val="764741E2"/>
    <w:rsid w:val="764C7A4B"/>
    <w:rsid w:val="76AC673B"/>
    <w:rsid w:val="77DA1086"/>
    <w:rsid w:val="781E5417"/>
    <w:rsid w:val="78880AE2"/>
    <w:rsid w:val="796C3F60"/>
    <w:rsid w:val="79BE0C60"/>
    <w:rsid w:val="7A227FBC"/>
    <w:rsid w:val="7AEF309B"/>
    <w:rsid w:val="7BC65BA9"/>
    <w:rsid w:val="7C54280A"/>
    <w:rsid w:val="7CD95DB0"/>
    <w:rsid w:val="7D7A4E9D"/>
    <w:rsid w:val="7ED20E27"/>
    <w:rsid w:val="7F0A2251"/>
    <w:rsid w:val="7F7B4B66"/>
    <w:rsid w:val="7FA049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Arial"/>
      <w:bCs/>
      <w:kern w:val="2"/>
      <w:sz w:val="32"/>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Normal (Web)"/>
    <w:next w:val="9"/>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bidi="ar-SA"/>
    </w:rPr>
  </w:style>
  <w:style w:type="paragraph" w:customStyle="1" w:styleId="9">
    <w:name w:val="样式1"/>
    <w:basedOn w:val="1"/>
    <w:qFormat/>
    <w:uiPriority w:val="0"/>
    <w:rPr>
      <w:b/>
      <w:color w:val="538135"/>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styleId="15">
    <w:name w:val="List Paragraph"/>
    <w:basedOn w:val="1"/>
    <w:qFormat/>
    <w:uiPriority w:val="34"/>
    <w:pPr>
      <w:ind w:firstLine="420" w:firstLineChars="200"/>
    </w:pPr>
  </w:style>
  <w:style w:type="character" w:customStyle="1" w:styleId="16">
    <w:name w:val="fontstyle21"/>
    <w:basedOn w:val="12"/>
    <w:qFormat/>
    <w:uiPriority w:val="0"/>
    <w:rPr>
      <w:rFonts w:ascii="仿宋_GB2312" w:eastAsia="仿宋_GB2312" w:cs="仿宋_GB2312"/>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17</Pages>
  <Words>10513</Words>
  <Characters>10890</Characters>
  <Lines>0</Lines>
  <Paragraphs>3</Paragraphs>
  <TotalTime>0</TotalTime>
  <ScaleCrop>false</ScaleCrop>
  <LinksUpToDate>false</LinksUpToDate>
  <CharactersWithSpaces>11044</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2020-05-08T22:11:00Z</dcterms:created>
  <dc:creator>User274</dc:creator>
  <cp:lastModifiedBy>kylin</cp:lastModifiedBy>
  <cp:lastPrinted>2024-07-03T16:27:00Z</cp:lastPrinted>
  <dcterms:modified xsi:type="dcterms:W3CDTF">2025-04-11T14:20:16Z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7E9A012E6849477987B6050069518A81</vt:lpwstr>
  </property>
</Properties>
</file>